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107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70"/>
      </w:tblGrid>
      <w:tr w:rsidR="00BE4096" w:rsidRPr="0012008D" w14:paraId="11BC03B7" w14:textId="77777777" w:rsidTr="00BE4096">
        <w:trPr>
          <w:trHeight w:val="378"/>
          <w:jc w:val="center"/>
        </w:trPr>
        <w:tc>
          <w:tcPr>
            <w:tcW w:w="11070" w:type="dxa"/>
            <w:shd w:val="clear" w:color="auto" w:fill="F6E7C0"/>
          </w:tcPr>
          <w:p w14:paraId="13B494C5" w14:textId="74856012" w:rsidR="00BE4096" w:rsidRPr="0012008D" w:rsidRDefault="00BE4096" w:rsidP="00BE780B">
            <w:pPr>
              <w:rPr>
                <w:rFonts w:ascii="Arial" w:hAnsi="Arial" w:cs="Arial"/>
                <w:sz w:val="10"/>
                <w:szCs w:val="10"/>
              </w:rPr>
            </w:pPr>
            <w:r>
              <w:rPr>
                <w:rFonts w:ascii="Arial" w:hAnsi="Arial" w:cs="Arial"/>
                <w:sz w:val="22"/>
                <w:szCs w:val="22"/>
              </w:rPr>
              <w:br w:type="page"/>
            </w:r>
          </w:p>
        </w:tc>
      </w:tr>
      <w:tr w:rsidR="00BE4096" w:rsidRPr="0012008D" w14:paraId="64EF29C7" w14:textId="77777777" w:rsidTr="00BE4096">
        <w:trPr>
          <w:trHeight w:val="49"/>
          <w:jc w:val="center"/>
        </w:trPr>
        <w:tc>
          <w:tcPr>
            <w:tcW w:w="11070" w:type="dxa"/>
            <w:shd w:val="clear" w:color="auto" w:fill="B48819"/>
          </w:tcPr>
          <w:p w14:paraId="74E73528" w14:textId="77777777" w:rsidR="00BE4096" w:rsidRPr="0012008D" w:rsidRDefault="00BE4096" w:rsidP="00BE780B">
            <w:pPr>
              <w:rPr>
                <w:rFonts w:ascii="Arial" w:hAnsi="Arial" w:cs="Arial"/>
                <w:sz w:val="6"/>
                <w:szCs w:val="6"/>
              </w:rPr>
            </w:pPr>
          </w:p>
        </w:tc>
      </w:tr>
      <w:tr w:rsidR="00BE4096" w:rsidRPr="0012008D" w14:paraId="3A6DF143" w14:textId="77777777" w:rsidTr="00BE4096">
        <w:trPr>
          <w:jc w:val="center"/>
        </w:trPr>
        <w:tc>
          <w:tcPr>
            <w:tcW w:w="11070" w:type="dxa"/>
          </w:tcPr>
          <w:p w14:paraId="4622A703" w14:textId="77777777" w:rsidR="00BE4096" w:rsidRPr="0012008D" w:rsidRDefault="00BE4096" w:rsidP="00BE780B">
            <w:pPr>
              <w:rPr>
                <w:rFonts w:ascii="Arial" w:hAnsi="Arial" w:cs="Arial"/>
                <w:sz w:val="10"/>
                <w:szCs w:val="10"/>
              </w:rPr>
            </w:pPr>
          </w:p>
        </w:tc>
      </w:tr>
      <w:tr w:rsidR="00BE4096" w:rsidRPr="0012008D" w14:paraId="304E1C79" w14:textId="77777777" w:rsidTr="00BE4096">
        <w:trPr>
          <w:trHeight w:val="1584"/>
          <w:jc w:val="center"/>
        </w:trPr>
        <w:tc>
          <w:tcPr>
            <w:tcW w:w="11070" w:type="dxa"/>
            <w:shd w:val="clear" w:color="auto" w:fill="1D203A"/>
          </w:tcPr>
          <w:p w14:paraId="26CD62A5" w14:textId="77777777" w:rsidR="00BE4096" w:rsidRPr="0012008D" w:rsidRDefault="00BE4096" w:rsidP="00BE780B">
            <w:pPr>
              <w:rPr>
                <w:rFonts w:ascii="Arial" w:hAnsi="Arial" w:cs="Arial"/>
                <w:sz w:val="10"/>
                <w:szCs w:val="10"/>
              </w:rPr>
            </w:pPr>
            <w:r>
              <w:rPr>
                <w:noProof/>
              </w:rPr>
              <mc:AlternateContent>
                <mc:Choice Requires="wps">
                  <w:drawing>
                    <wp:anchor distT="0" distB="0" distL="114300" distR="114300" simplePos="0" relativeHeight="251660288" behindDoc="0" locked="0" layoutInCell="1" allowOverlap="1" wp14:anchorId="1FD61148" wp14:editId="7261A96E">
                      <wp:simplePos x="0" y="0"/>
                      <wp:positionH relativeFrom="column">
                        <wp:posOffset>1254183</wp:posOffset>
                      </wp:positionH>
                      <wp:positionV relativeFrom="page">
                        <wp:posOffset>165908</wp:posOffset>
                      </wp:positionV>
                      <wp:extent cx="5535295" cy="688769"/>
                      <wp:effectExtent l="0" t="0" r="0" b="0"/>
                      <wp:wrapNone/>
                      <wp:docPr id="110916272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35295" cy="688769"/>
                              </a:xfrm>
                              <a:prstGeom prst="rect">
                                <a:avLst/>
                              </a:prstGeom>
                              <a:noFill/>
                              <a:ln w="6350">
                                <a:noFill/>
                              </a:ln>
                            </wps:spPr>
                            <wps:txbx>
                              <w:txbxContent>
                                <w:p w14:paraId="4B969624" w14:textId="77777777" w:rsidR="00BE4096" w:rsidRPr="00B4582B" w:rsidRDefault="00BE4096" w:rsidP="00BE4096">
                                  <w:pPr>
                                    <w:pStyle w:val="FFormTitle"/>
                                    <w:jc w:val="left"/>
                                    <w:rPr>
                                      <w:rFonts w:ascii="Arial" w:hAnsi="Arial"/>
                                      <w:sz w:val="36"/>
                                      <w:szCs w:val="36"/>
                                    </w:rPr>
                                  </w:pPr>
                                  <w:r>
                                    <w:rPr>
                                      <w:rFonts w:ascii="Arial" w:hAnsi="Arial"/>
                                      <w:sz w:val="36"/>
                                      <w:szCs w:val="36"/>
                                    </w:rPr>
                                    <w:t>Exhibit 1: Data Security, Confidentiality and Ownership Terms and Conditions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D61148" id="_x0000_t202" coordsize="21600,21600" o:spt="202" path="m,l,21600r21600,l21600,xe">
                      <v:stroke joinstyle="miter"/>
                      <v:path gradientshapeok="t" o:connecttype="rect"/>
                    </v:shapetype>
                    <v:shape id="Text Box 1" o:spid="_x0000_s1026" type="#_x0000_t202" style="position:absolute;margin-left:98.75pt;margin-top:13.05pt;width:435.85pt;height:5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" filled="f" stroked="f" strokeweight=".5pt">
                      <v:textbox>
                        <w:txbxContent>
                          <w:p w14:paraId="4B969624" w14:textId="77777777" w:rsidR="00BE4096" w:rsidRPr="00B4582B" w:rsidRDefault="00BE4096" w:rsidP="00BE4096">
                            <w:pPr>
                              <w:pStyle w:val="FFormTitle"/>
                              <w:jc w:val="left"/>
                              <w:rPr>
                                <w:rFonts w:ascii="Arial" w:hAnsi="Arial"/>
                                <w:sz w:val="36"/>
                                <w:szCs w:val="36"/>
                              </w:rPr>
                            </w:pPr>
                            <w:r>
                              <w:rPr>
                                <w:rFonts w:ascii="Arial" w:hAnsi="Arial"/>
                                <w:sz w:val="36"/>
                                <w:szCs w:val="36"/>
                              </w:rPr>
                              <w:t>Exhibit 1: Data Security, Confidentiality and Ownership Terms and Conditions</w:t>
                            </w:r>
                          </w:p>
                        </w:txbxContent>
                      </v:textbox>
                      <w10:wrap anchory="page"/>
                    </v:shape>
                  </w:pict>
                </mc:Fallback>
              </mc:AlternateContent>
            </w:r>
            <w:r>
              <w:rPr>
                <w:noProof/>
              </w:rPr>
              <w:drawing>
                <wp:anchor distT="0" distB="0" distL="114300" distR="114300" simplePos="0" relativeHeight="251659264" behindDoc="0" locked="0" layoutInCell="1" allowOverlap="1" wp14:anchorId="27ADDC98" wp14:editId="53F481F8">
                  <wp:simplePos x="0" y="0"/>
                  <wp:positionH relativeFrom="column">
                    <wp:posOffset>146855</wp:posOffset>
                  </wp:positionH>
                  <wp:positionV relativeFrom="paragraph">
                    <wp:posOffset>-152</wp:posOffset>
                  </wp:positionV>
                  <wp:extent cx="1000125" cy="1000125"/>
                  <wp:effectExtent l="0" t="0" r="0" b="0"/>
                  <wp:wrapNone/>
                  <wp:docPr id="174536028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BE4096" w:rsidRPr="0012008D" w14:paraId="09B19A2A" w14:textId="77777777" w:rsidTr="00BE4096">
        <w:trPr>
          <w:jc w:val="center"/>
        </w:trPr>
        <w:tc>
          <w:tcPr>
            <w:tcW w:w="11070" w:type="dxa"/>
          </w:tcPr>
          <w:p w14:paraId="3FA72134" w14:textId="77777777" w:rsidR="00BE4096" w:rsidRPr="0012008D" w:rsidRDefault="00BE4096" w:rsidP="00BE780B">
            <w:pPr>
              <w:rPr>
                <w:rFonts w:ascii="Arial" w:hAnsi="Arial" w:cs="Arial"/>
                <w:sz w:val="10"/>
                <w:szCs w:val="10"/>
              </w:rPr>
            </w:pPr>
          </w:p>
        </w:tc>
      </w:tr>
      <w:tr w:rsidR="00BE4096" w:rsidRPr="0012008D" w14:paraId="6670D0BD" w14:textId="77777777" w:rsidTr="00BE4096">
        <w:trPr>
          <w:jc w:val="center"/>
        </w:trPr>
        <w:tc>
          <w:tcPr>
            <w:tcW w:w="11070" w:type="dxa"/>
            <w:shd w:val="clear" w:color="auto" w:fill="B48819"/>
          </w:tcPr>
          <w:p w14:paraId="7D7401AA" w14:textId="77777777" w:rsidR="00BE4096" w:rsidRPr="0012008D" w:rsidRDefault="00BE4096" w:rsidP="00BE780B">
            <w:pPr>
              <w:rPr>
                <w:rFonts w:ascii="Arial" w:hAnsi="Arial" w:cs="Arial"/>
                <w:sz w:val="6"/>
                <w:szCs w:val="6"/>
              </w:rPr>
            </w:pPr>
          </w:p>
        </w:tc>
      </w:tr>
      <w:tr w:rsidR="00BE4096" w:rsidRPr="0012008D" w14:paraId="01D69D1A" w14:textId="77777777" w:rsidTr="00BE4096">
        <w:trPr>
          <w:jc w:val="center"/>
        </w:trPr>
        <w:tc>
          <w:tcPr>
            <w:tcW w:w="11070" w:type="dxa"/>
          </w:tcPr>
          <w:p w14:paraId="1104D7C7" w14:textId="77777777" w:rsidR="00BE4096" w:rsidRPr="0012008D" w:rsidRDefault="00BE4096" w:rsidP="00BE780B">
            <w:pPr>
              <w:rPr>
                <w:rFonts w:ascii="Arial" w:hAnsi="Arial" w:cs="Arial"/>
                <w:sz w:val="10"/>
                <w:szCs w:val="10"/>
              </w:rPr>
            </w:pPr>
          </w:p>
        </w:tc>
      </w:tr>
    </w:tbl>
    <w:p w14:paraId="21559D94" w14:textId="77777777" w:rsidR="00BE4096" w:rsidRDefault="00BE4096" w:rsidP="00BE4096">
      <w:pPr>
        <w:rPr>
          <w:rFonts w:ascii="Arial" w:hAnsi="Arial" w:cs="Arial"/>
          <w:sz w:val="22"/>
          <w:szCs w:val="22"/>
        </w:rPr>
      </w:pPr>
    </w:p>
    <w:p w14:paraId="6C8AF3E8" w14:textId="77777777" w:rsidR="00BE4096" w:rsidRDefault="00BE4096" w:rsidP="00BE4096">
      <w:pPr>
        <w:ind w:left="-180"/>
        <w:rPr>
          <w:rFonts w:ascii="Arial" w:hAnsi="Arial" w:cs="Arial"/>
        </w:rPr>
      </w:pPr>
      <w:r w:rsidRPr="0058138D">
        <w:rPr>
          <w:rFonts w:ascii="Arial" w:hAnsi="Arial" w:cs="Arial"/>
        </w:rPr>
        <w:t>In the course of providing goods</w:t>
      </w:r>
      <w:r>
        <w:rPr>
          <w:rFonts w:ascii="Arial" w:hAnsi="Arial" w:cs="Arial"/>
        </w:rPr>
        <w:t>,</w:t>
      </w:r>
      <w:r w:rsidRPr="0058138D">
        <w:rPr>
          <w:rFonts w:ascii="Arial" w:hAnsi="Arial" w:cs="Arial"/>
        </w:rPr>
        <w:t xml:space="preserve"> services</w:t>
      </w:r>
      <w:r>
        <w:rPr>
          <w:rFonts w:ascii="Arial" w:hAnsi="Arial" w:cs="Arial"/>
        </w:rPr>
        <w:t xml:space="preserve"> or software</w:t>
      </w:r>
      <w:r w:rsidRPr="0058138D">
        <w:rPr>
          <w:rFonts w:ascii="Arial" w:hAnsi="Arial" w:cs="Arial"/>
        </w:rPr>
        <w:t xml:space="preserve"> to the State of Georgia and governmental entities of the State pursuant to this </w:t>
      </w:r>
      <w:r>
        <w:rPr>
          <w:rFonts w:ascii="Arial" w:hAnsi="Arial" w:cs="Arial"/>
        </w:rPr>
        <w:t>C</w:t>
      </w:r>
      <w:r w:rsidRPr="0058138D">
        <w:rPr>
          <w:rFonts w:ascii="Arial" w:hAnsi="Arial" w:cs="Arial"/>
        </w:rPr>
        <w:t xml:space="preserve">ontract, </w:t>
      </w:r>
      <w:r>
        <w:rPr>
          <w:rFonts w:ascii="Arial" w:hAnsi="Arial" w:cs="Arial"/>
        </w:rPr>
        <w:t>Contractor</w:t>
      </w:r>
      <w:r w:rsidRPr="0058138D">
        <w:rPr>
          <w:rFonts w:ascii="Arial" w:hAnsi="Arial" w:cs="Arial"/>
        </w:rPr>
        <w:t xml:space="preserve"> may gain access to Sensitive State Data as defined below. In such event, these Data Security Terms and Conditions shall apply.</w:t>
      </w:r>
    </w:p>
    <w:p w14:paraId="29BC0484" w14:textId="77777777" w:rsidR="00BE4096" w:rsidRPr="0058138D" w:rsidRDefault="00BE4096" w:rsidP="00BE4096">
      <w:pPr>
        <w:rPr>
          <w:rFonts w:ascii="Arial" w:hAnsi="Arial" w:cs="Arial"/>
        </w:rPr>
      </w:pPr>
    </w:p>
    <w:p w14:paraId="2D0611E6" w14:textId="77777777" w:rsidR="00BE4096" w:rsidRDefault="00BE4096" w:rsidP="00BE4096">
      <w:pPr>
        <w:pStyle w:val="ListParagraph"/>
        <w:numPr>
          <w:ilvl w:val="0"/>
          <w:numId w:val="1"/>
        </w:numPr>
        <w:spacing w:after="160" w:line="278" w:lineRule="auto"/>
        <w:ind w:left="540" w:hanging="540"/>
        <w:contextualSpacing w:val="0"/>
        <w:rPr>
          <w:rFonts w:ascii="Arial" w:hAnsi="Arial" w:cs="Arial"/>
          <w:b/>
          <w:bCs/>
        </w:rPr>
      </w:pPr>
      <w:r w:rsidRPr="00F5101E">
        <w:rPr>
          <w:rFonts w:ascii="Arial" w:hAnsi="Arial" w:cs="Arial"/>
          <w:b/>
          <w:bCs/>
        </w:rPr>
        <w:t>DEFINITIONS AND GENERAL INFORMATION</w:t>
      </w:r>
    </w:p>
    <w:p w14:paraId="5CE96524" w14:textId="77777777" w:rsidR="00BE4096" w:rsidRPr="00F5101E" w:rsidRDefault="00BE4096" w:rsidP="00BE4096">
      <w:pPr>
        <w:pStyle w:val="ListParagraph"/>
        <w:numPr>
          <w:ilvl w:val="1"/>
          <w:numId w:val="2"/>
        </w:numPr>
        <w:spacing w:after="160" w:line="278" w:lineRule="auto"/>
        <w:ind w:left="1260" w:hanging="720"/>
        <w:contextualSpacing w:val="0"/>
        <w:rPr>
          <w:rFonts w:ascii="Arial" w:hAnsi="Arial" w:cs="Arial"/>
          <w:b/>
          <w:bCs/>
        </w:rPr>
      </w:pPr>
      <w:r w:rsidRPr="00F5101E">
        <w:rPr>
          <w:rFonts w:ascii="Arial" w:hAnsi="Arial" w:cs="Arial"/>
          <w:b/>
          <w:bCs/>
        </w:rPr>
        <w:t>“Authorized Persons”</w:t>
      </w:r>
      <w:r w:rsidRPr="00F5101E">
        <w:rPr>
          <w:rFonts w:ascii="Arial" w:hAnsi="Arial" w:cs="Arial"/>
        </w:rPr>
        <w:t xml:space="preserve"> means </w:t>
      </w:r>
      <w:r>
        <w:rPr>
          <w:rFonts w:ascii="Arial" w:hAnsi="Arial" w:cs="Arial"/>
        </w:rPr>
        <w:t>Contractor</w:t>
      </w:r>
      <w:r w:rsidRPr="00F5101E">
        <w:rPr>
          <w:rFonts w:ascii="Arial" w:hAnsi="Arial" w:cs="Arial"/>
        </w:rPr>
        <w:t xml:space="preserve"> and its employees, subcontractors, or other agents to the extent necessary for such persons to access Sensitive State Data to enable </w:t>
      </w:r>
      <w:r>
        <w:rPr>
          <w:rFonts w:ascii="Arial" w:hAnsi="Arial" w:cs="Arial"/>
        </w:rPr>
        <w:t>Contractor</w:t>
      </w:r>
      <w:r w:rsidRPr="00F5101E">
        <w:rPr>
          <w:rFonts w:ascii="Arial" w:hAnsi="Arial" w:cs="Arial"/>
        </w:rPr>
        <w:t xml:space="preserve"> to provide goods and/or services under this </w:t>
      </w:r>
      <w:r>
        <w:rPr>
          <w:rFonts w:ascii="Arial" w:hAnsi="Arial" w:cs="Arial"/>
        </w:rPr>
        <w:t>Contract</w:t>
      </w:r>
      <w:r w:rsidRPr="00F5101E">
        <w:rPr>
          <w:rFonts w:ascii="Arial" w:hAnsi="Arial" w:cs="Arial"/>
        </w:rPr>
        <w:t>.</w:t>
      </w:r>
    </w:p>
    <w:p w14:paraId="00DA05F3" w14:textId="77777777" w:rsidR="00BE4096" w:rsidRPr="00F5101E" w:rsidRDefault="00BE4096" w:rsidP="00BE4096">
      <w:pPr>
        <w:pStyle w:val="ListParagraph"/>
        <w:numPr>
          <w:ilvl w:val="1"/>
          <w:numId w:val="2"/>
        </w:numPr>
        <w:spacing w:after="160" w:line="278" w:lineRule="auto"/>
        <w:ind w:left="1260" w:hanging="720"/>
        <w:contextualSpacing w:val="0"/>
        <w:rPr>
          <w:rFonts w:ascii="Arial" w:hAnsi="Arial" w:cs="Arial"/>
          <w:b/>
          <w:bCs/>
        </w:rPr>
      </w:pPr>
      <w:r w:rsidRPr="00F5101E">
        <w:rPr>
          <w:rFonts w:ascii="Arial" w:hAnsi="Arial" w:cs="Arial"/>
          <w:b/>
          <w:bCs/>
        </w:rPr>
        <w:t>“Data Breach”</w:t>
      </w:r>
      <w:r w:rsidRPr="00F5101E">
        <w:rPr>
          <w:rFonts w:ascii="Arial" w:hAnsi="Arial" w:cs="Arial"/>
        </w:rPr>
        <w:t xml:space="preserve"> means a security-relevant event in which the security of a system or procedure used to create, obtain, transmit, maintain, use, process, store, or dispose of data is breached and Sensitive State Data or information technology resources is exposed to unauthorized access, use, disclosure, alteration, or theft.</w:t>
      </w:r>
    </w:p>
    <w:p w14:paraId="4722F605" w14:textId="77777777" w:rsidR="00BE4096" w:rsidRPr="00F5101E" w:rsidRDefault="00BE4096" w:rsidP="00BE4096">
      <w:pPr>
        <w:pStyle w:val="ListParagraph"/>
        <w:numPr>
          <w:ilvl w:val="1"/>
          <w:numId w:val="2"/>
        </w:numPr>
        <w:spacing w:after="160" w:line="278" w:lineRule="auto"/>
        <w:ind w:left="1260" w:hanging="720"/>
        <w:contextualSpacing w:val="0"/>
        <w:rPr>
          <w:rFonts w:ascii="Arial" w:hAnsi="Arial" w:cs="Arial"/>
          <w:b/>
          <w:bCs/>
        </w:rPr>
      </w:pPr>
      <w:r w:rsidRPr="00F5101E">
        <w:rPr>
          <w:rFonts w:ascii="Arial" w:hAnsi="Arial" w:cs="Arial"/>
          <w:b/>
          <w:bCs/>
        </w:rPr>
        <w:t>“Personally Identifiable Information”</w:t>
      </w:r>
      <w:r w:rsidRPr="00F5101E">
        <w:rPr>
          <w:rFonts w:ascii="Arial" w:hAnsi="Arial" w:cs="Arial"/>
        </w:rPr>
        <w:t xml:space="preserve"> includes, but is not limited to, personal identifiers such as name, address, phone number, date of birth, Social Security number, and student or personnel identification number; Personal Information as defined in O.C.G.A. 10-1-911 and/or any successor laws of the State of Georgia; Personally Identifiable Information contained in student education records as that term is defined in the Family Educational Rights and Privacy Act, 20 USC 1232g; Medical Information as defined in Georgia Code Section 32.1-127.1:05; Protected Health Information” as that term is defined in the Health Insurance Portability and Accountability Act, 45 CFR Part 160.103; Nonpublic Personal Information as that term is defined in the Gramm-Leach-Bliley Financial Modernization Act of 1999, 15 USC 6809; credit and debit card numbers and/or access codes and other cardholder data and sensitive authentication data as those terms are defined in the Payment Card Industry Data Security Standards; other financial account numbers, access codes, driver’s license numbers; and state- or federal-identification numbers such as passport, visa or state identity card numbers.</w:t>
      </w:r>
    </w:p>
    <w:p w14:paraId="2345073E" w14:textId="77777777" w:rsidR="00BE4096" w:rsidRPr="00F5101E" w:rsidRDefault="00BE4096" w:rsidP="00BE4096">
      <w:pPr>
        <w:pStyle w:val="ListParagraph"/>
        <w:numPr>
          <w:ilvl w:val="1"/>
          <w:numId w:val="2"/>
        </w:numPr>
        <w:spacing w:after="160" w:line="278" w:lineRule="auto"/>
        <w:ind w:left="1260" w:hanging="720"/>
        <w:contextualSpacing w:val="0"/>
        <w:rPr>
          <w:rFonts w:ascii="Arial" w:hAnsi="Arial" w:cs="Arial"/>
          <w:b/>
          <w:bCs/>
        </w:rPr>
      </w:pPr>
      <w:r w:rsidRPr="00F5101E">
        <w:rPr>
          <w:rFonts w:ascii="Arial" w:hAnsi="Arial" w:cs="Arial"/>
          <w:b/>
          <w:bCs/>
        </w:rPr>
        <w:t>“Personal Data”</w:t>
      </w:r>
      <w:r w:rsidRPr="00F5101E">
        <w:rPr>
          <w:rFonts w:ascii="Arial" w:hAnsi="Arial" w:cs="Arial"/>
        </w:rPr>
        <w:t xml:space="preserve"> as defined in O.C.G.A. § 10-1-911 means an individual's first name or first initial and last name in combination with any one or more of the following data elements when either the name or the data elements are not encrypted or redacted:</w:t>
      </w:r>
    </w:p>
    <w:p w14:paraId="2A33AA45" w14:textId="77777777" w:rsidR="00BE4096" w:rsidRDefault="00BE4096" w:rsidP="00BE4096">
      <w:pPr>
        <w:pStyle w:val="ListParagraph"/>
        <w:numPr>
          <w:ilvl w:val="2"/>
          <w:numId w:val="2"/>
        </w:numPr>
        <w:spacing w:after="160" w:line="278" w:lineRule="auto"/>
        <w:ind w:left="2160"/>
        <w:contextualSpacing w:val="0"/>
        <w:rPr>
          <w:rFonts w:ascii="Arial" w:hAnsi="Arial" w:cs="Arial"/>
        </w:rPr>
      </w:pPr>
      <w:r w:rsidRPr="00F5101E">
        <w:rPr>
          <w:rFonts w:ascii="Arial" w:hAnsi="Arial" w:cs="Arial"/>
        </w:rPr>
        <w:t>Social Security number;</w:t>
      </w:r>
    </w:p>
    <w:p w14:paraId="1B17DD41" w14:textId="77777777" w:rsidR="00BE4096" w:rsidRDefault="00BE4096" w:rsidP="00BE4096">
      <w:pPr>
        <w:pStyle w:val="ListParagraph"/>
        <w:numPr>
          <w:ilvl w:val="2"/>
          <w:numId w:val="2"/>
        </w:numPr>
        <w:spacing w:after="160" w:line="278" w:lineRule="auto"/>
        <w:ind w:left="2160"/>
        <w:contextualSpacing w:val="0"/>
        <w:rPr>
          <w:rFonts w:ascii="Arial" w:hAnsi="Arial" w:cs="Arial"/>
        </w:rPr>
      </w:pPr>
      <w:r w:rsidRPr="00F5101E">
        <w:rPr>
          <w:rFonts w:ascii="Arial" w:hAnsi="Arial" w:cs="Arial"/>
        </w:rPr>
        <w:t>Driver's license number or state identification card number;</w:t>
      </w:r>
    </w:p>
    <w:p w14:paraId="5F77EDDE" w14:textId="16ED3731" w:rsidR="0038384C" w:rsidRPr="0038384C" w:rsidRDefault="0038384C" w:rsidP="0038384C">
      <w:pPr>
        <w:tabs>
          <w:tab w:val="left" w:pos="2023"/>
        </w:tabs>
      </w:pPr>
      <w:r>
        <w:tab/>
      </w:r>
    </w:p>
    <w:p w14:paraId="7D8FC553" w14:textId="77777777" w:rsidR="00BE4096" w:rsidRDefault="00BE4096" w:rsidP="00BE4096">
      <w:pPr>
        <w:pStyle w:val="ListParagraph"/>
        <w:numPr>
          <w:ilvl w:val="2"/>
          <w:numId w:val="2"/>
        </w:numPr>
        <w:spacing w:after="160" w:line="278" w:lineRule="auto"/>
        <w:ind w:left="2160"/>
        <w:contextualSpacing w:val="0"/>
        <w:rPr>
          <w:rFonts w:ascii="Arial" w:hAnsi="Arial" w:cs="Arial"/>
        </w:rPr>
      </w:pPr>
      <w:r w:rsidRPr="00F5101E">
        <w:rPr>
          <w:rFonts w:ascii="Arial" w:hAnsi="Arial" w:cs="Arial"/>
        </w:rPr>
        <w:lastRenderedPageBreak/>
        <w:t>Account number, credit card number, or debit card number, if circumstances exist wherein such a number could be used without additional identifying information, access codes, or passwords;</w:t>
      </w:r>
    </w:p>
    <w:p w14:paraId="0F9202A2" w14:textId="77777777" w:rsidR="00BE4096" w:rsidRDefault="00BE4096" w:rsidP="00BE4096">
      <w:pPr>
        <w:pStyle w:val="ListParagraph"/>
        <w:numPr>
          <w:ilvl w:val="2"/>
          <w:numId w:val="2"/>
        </w:numPr>
        <w:spacing w:after="160" w:line="278" w:lineRule="auto"/>
        <w:ind w:left="2160"/>
        <w:contextualSpacing w:val="0"/>
        <w:rPr>
          <w:rFonts w:ascii="Arial" w:hAnsi="Arial" w:cs="Arial"/>
        </w:rPr>
      </w:pPr>
      <w:r w:rsidRPr="00F5101E">
        <w:rPr>
          <w:rFonts w:ascii="Arial" w:hAnsi="Arial" w:cs="Arial"/>
        </w:rPr>
        <w:t>Account passwords or personal identification numbers or other access codes; or</w:t>
      </w:r>
    </w:p>
    <w:p w14:paraId="6F7BAF88" w14:textId="77777777" w:rsidR="00BE4096" w:rsidRPr="00F5101E" w:rsidRDefault="00BE4096" w:rsidP="00BE4096">
      <w:pPr>
        <w:pStyle w:val="ListParagraph"/>
        <w:numPr>
          <w:ilvl w:val="2"/>
          <w:numId w:val="2"/>
        </w:numPr>
        <w:spacing w:after="160" w:line="278" w:lineRule="auto"/>
        <w:ind w:left="2160"/>
        <w:contextualSpacing w:val="0"/>
        <w:rPr>
          <w:rFonts w:ascii="Arial" w:hAnsi="Arial" w:cs="Arial"/>
        </w:rPr>
      </w:pPr>
      <w:r w:rsidRPr="00F5101E">
        <w:rPr>
          <w:rFonts w:ascii="Arial" w:hAnsi="Arial" w:cs="Arial"/>
        </w:rPr>
        <w:t>Any of the items contained in subparagraphs (A) through (D) of this paragraph when not in connection with the individual's first name or first initial and last name, if the information compromised would be sufficient to perform or attempt to perform identity theft against the person whose information was compromised.</w:t>
      </w:r>
    </w:p>
    <w:p w14:paraId="7709D476" w14:textId="77777777" w:rsidR="00BE4096" w:rsidRPr="0058138D" w:rsidRDefault="00BE4096" w:rsidP="00BE4096">
      <w:pPr>
        <w:numPr>
          <w:ilvl w:val="1"/>
          <w:numId w:val="2"/>
        </w:numPr>
        <w:spacing w:after="160" w:line="278" w:lineRule="auto"/>
        <w:ind w:left="1260" w:hanging="720"/>
        <w:rPr>
          <w:rFonts w:ascii="Arial" w:hAnsi="Arial" w:cs="Arial"/>
        </w:rPr>
      </w:pPr>
      <w:r w:rsidRPr="0058138D">
        <w:rPr>
          <w:rFonts w:ascii="Arial" w:hAnsi="Arial" w:cs="Arial"/>
          <w:b/>
          <w:bCs/>
        </w:rPr>
        <w:t>“Sensitive State Data”</w:t>
      </w:r>
      <w:r w:rsidRPr="0058138D">
        <w:rPr>
          <w:rFonts w:ascii="Arial" w:hAnsi="Arial" w:cs="Arial"/>
        </w:rPr>
        <w:t xml:space="preserve"> means all Personally Identifiable Information and other information that is not intentionally made available by the State on public websites or publications, including but not limited to business, administrative, and financial data, intellectual property, and patient, student and personnel data and records not required to be publicly disclosed under the Georgia Open Records Act, O.C.G.A. § 50-18-72 et seq., including any plan, blueprint, or material which if made public would compromise security. Sensitive State Data includes data created or in any way originating with or on behalf of the State, and all data that is the output of computer processing of or other electronic manipulation of any data that was created by or in any way originated with the State, whether such data or output is stored on the State’s hardware, </w:t>
      </w:r>
      <w:r>
        <w:rPr>
          <w:rFonts w:ascii="Arial" w:hAnsi="Arial" w:cs="Arial"/>
        </w:rPr>
        <w:t>Contractor’s</w:t>
      </w:r>
      <w:r w:rsidRPr="0058138D">
        <w:rPr>
          <w:rFonts w:ascii="Arial" w:hAnsi="Arial" w:cs="Arial"/>
        </w:rPr>
        <w:t xml:space="preserve"> hardware or exists in any system owned, maintained or otherwise controlled by the State or </w:t>
      </w:r>
      <w:r>
        <w:rPr>
          <w:rFonts w:ascii="Arial" w:hAnsi="Arial" w:cs="Arial"/>
        </w:rPr>
        <w:t>Contractor</w:t>
      </w:r>
      <w:r w:rsidRPr="0058138D">
        <w:rPr>
          <w:rFonts w:ascii="Arial" w:hAnsi="Arial" w:cs="Arial"/>
        </w:rPr>
        <w:t>.</w:t>
      </w:r>
    </w:p>
    <w:p w14:paraId="4F28ADF9" w14:textId="77777777" w:rsidR="00BE4096" w:rsidRPr="0058138D" w:rsidRDefault="00BE4096" w:rsidP="00BE4096">
      <w:pPr>
        <w:numPr>
          <w:ilvl w:val="1"/>
          <w:numId w:val="2"/>
        </w:numPr>
        <w:spacing w:after="160" w:line="278" w:lineRule="auto"/>
        <w:ind w:left="1260" w:hanging="720"/>
        <w:rPr>
          <w:rFonts w:ascii="Arial" w:hAnsi="Arial" w:cs="Arial"/>
        </w:rPr>
      </w:pPr>
      <w:r w:rsidRPr="0058138D">
        <w:rPr>
          <w:rFonts w:ascii="Arial" w:hAnsi="Arial" w:cs="Arial"/>
          <w:b/>
          <w:bCs/>
        </w:rPr>
        <w:t>“Security Incident”</w:t>
      </w:r>
      <w:r w:rsidRPr="0058138D">
        <w:rPr>
          <w:rFonts w:ascii="Arial" w:hAnsi="Arial" w:cs="Arial"/>
        </w:rPr>
        <w:t xml:space="preserve"> means the potentially unauthorized access by non-Authorized Persons to Sensitive State Data that could reasonably result in the use, disclosure, alteration, or theft of the Sensitive State Data or information technology resources within the possession or control of </w:t>
      </w:r>
      <w:r>
        <w:rPr>
          <w:rFonts w:ascii="Arial" w:hAnsi="Arial" w:cs="Arial"/>
        </w:rPr>
        <w:t>Contractor</w:t>
      </w:r>
      <w:r w:rsidRPr="0058138D">
        <w:rPr>
          <w:rFonts w:ascii="Arial" w:hAnsi="Arial" w:cs="Arial"/>
        </w:rPr>
        <w:t xml:space="preserve"> or any cyber-attack, data breach, or identified use of malware that may create a life-safety event, substantially impair the security of data or information systems, or affect critical systems, equipment, or service delivery. A Security Incident may or may not turn into a Data Breach.</w:t>
      </w:r>
    </w:p>
    <w:p w14:paraId="66A71414" w14:textId="77777777" w:rsidR="00BE4096" w:rsidRPr="00F5101E" w:rsidRDefault="00BE4096" w:rsidP="00BE4096">
      <w:pPr>
        <w:pStyle w:val="ListParagraph"/>
        <w:numPr>
          <w:ilvl w:val="0"/>
          <w:numId w:val="1"/>
        </w:numPr>
        <w:spacing w:after="160" w:line="278" w:lineRule="auto"/>
        <w:ind w:left="540" w:hanging="540"/>
        <w:contextualSpacing w:val="0"/>
        <w:rPr>
          <w:rFonts w:ascii="Arial" w:hAnsi="Arial" w:cs="Arial"/>
          <w:b/>
          <w:bCs/>
        </w:rPr>
      </w:pPr>
      <w:r w:rsidRPr="00F5101E">
        <w:rPr>
          <w:rFonts w:ascii="Arial" w:hAnsi="Arial" w:cs="Arial"/>
          <w:b/>
          <w:bCs/>
        </w:rPr>
        <w:t>DATA OWNERSHIP AND PROTECTION</w:t>
      </w:r>
    </w:p>
    <w:p w14:paraId="32BA2F50" w14:textId="77777777" w:rsidR="00BE4096" w:rsidRDefault="00BE4096" w:rsidP="00BE4096">
      <w:pPr>
        <w:pStyle w:val="ListParagraph"/>
        <w:numPr>
          <w:ilvl w:val="1"/>
          <w:numId w:val="3"/>
        </w:numPr>
        <w:spacing w:after="160" w:line="278" w:lineRule="auto"/>
        <w:ind w:left="1260" w:hanging="720"/>
        <w:contextualSpacing w:val="0"/>
        <w:rPr>
          <w:rFonts w:ascii="Arial" w:hAnsi="Arial" w:cs="Arial"/>
        </w:rPr>
      </w:pPr>
      <w:r w:rsidRPr="00F5101E">
        <w:rPr>
          <w:rFonts w:ascii="Arial" w:hAnsi="Arial" w:cs="Arial"/>
          <w:b/>
          <w:bCs/>
        </w:rPr>
        <w:t>Data Ownership</w:t>
      </w:r>
      <w:r w:rsidRPr="00F5101E">
        <w:rPr>
          <w:rFonts w:ascii="Arial" w:hAnsi="Arial" w:cs="Arial"/>
        </w:rPr>
        <w:t xml:space="preserve">. The State will own all right, title and interest, including all intellectual property rights, in its data that is related to the goods and services provided under this </w:t>
      </w:r>
      <w:r>
        <w:rPr>
          <w:rFonts w:ascii="Arial" w:hAnsi="Arial" w:cs="Arial"/>
        </w:rPr>
        <w:t>Contract</w:t>
      </w:r>
      <w:r w:rsidRPr="00F5101E">
        <w:rPr>
          <w:rFonts w:ascii="Arial" w:hAnsi="Arial" w:cs="Arial"/>
        </w:rPr>
        <w:t xml:space="preserve">. </w:t>
      </w:r>
      <w:r>
        <w:rPr>
          <w:rFonts w:ascii="Arial" w:hAnsi="Arial" w:cs="Arial"/>
        </w:rPr>
        <w:t>Contractor</w:t>
      </w:r>
      <w:r w:rsidRPr="00F5101E">
        <w:rPr>
          <w:rFonts w:ascii="Arial" w:hAnsi="Arial" w:cs="Arial"/>
        </w:rPr>
        <w:t xml:space="preserve"> shall not access Sensitive State Data, except 1) as is reasonably necessary to perform data center operations, 2) in response to service or technical issues, 3) as required by </w:t>
      </w:r>
      <w:r>
        <w:rPr>
          <w:rFonts w:ascii="Arial" w:hAnsi="Arial" w:cs="Arial"/>
        </w:rPr>
        <w:t>Contractor</w:t>
      </w:r>
      <w:r w:rsidRPr="00F5101E">
        <w:rPr>
          <w:rFonts w:ascii="Arial" w:hAnsi="Arial" w:cs="Arial"/>
        </w:rPr>
        <w:t xml:space="preserve"> to provide the goods and services covered by this </w:t>
      </w:r>
      <w:r>
        <w:rPr>
          <w:rFonts w:ascii="Arial" w:hAnsi="Arial" w:cs="Arial"/>
        </w:rPr>
        <w:t>Contract</w:t>
      </w:r>
      <w:r w:rsidRPr="00F5101E">
        <w:rPr>
          <w:rFonts w:ascii="Arial" w:hAnsi="Arial" w:cs="Arial"/>
        </w:rPr>
        <w:t xml:space="preserve"> or 4) at the State’s request. </w:t>
      </w:r>
      <w:r>
        <w:rPr>
          <w:rFonts w:ascii="Arial" w:hAnsi="Arial" w:cs="Arial"/>
        </w:rPr>
        <w:t>Contractor</w:t>
      </w:r>
      <w:r w:rsidRPr="00F5101E">
        <w:rPr>
          <w:rFonts w:ascii="Arial" w:hAnsi="Arial" w:cs="Arial"/>
        </w:rPr>
        <w:t xml:space="preserve"> has a limited, non-exclusive license to use Sensitive State Data solely for the purpose of performing its obligations under this </w:t>
      </w:r>
      <w:r>
        <w:rPr>
          <w:rFonts w:ascii="Arial" w:hAnsi="Arial" w:cs="Arial"/>
        </w:rPr>
        <w:t>Contract</w:t>
      </w:r>
      <w:r w:rsidRPr="00F5101E">
        <w:rPr>
          <w:rFonts w:ascii="Arial" w:hAnsi="Arial" w:cs="Arial"/>
        </w:rPr>
        <w:t>.</w:t>
      </w:r>
    </w:p>
    <w:p w14:paraId="2BB5E70E" w14:textId="77777777" w:rsidR="00BE4096" w:rsidRDefault="00BE4096" w:rsidP="00BE4096">
      <w:pPr>
        <w:pStyle w:val="ListParagraph"/>
        <w:numPr>
          <w:ilvl w:val="1"/>
          <w:numId w:val="3"/>
        </w:numPr>
        <w:spacing w:after="160" w:line="278" w:lineRule="auto"/>
        <w:ind w:left="1260" w:hanging="720"/>
        <w:contextualSpacing w:val="0"/>
        <w:rPr>
          <w:rFonts w:ascii="Arial" w:hAnsi="Arial" w:cs="Arial"/>
        </w:rPr>
      </w:pPr>
      <w:r w:rsidRPr="00F5101E">
        <w:rPr>
          <w:rFonts w:ascii="Arial" w:hAnsi="Arial" w:cs="Arial"/>
          <w:b/>
          <w:bCs/>
        </w:rPr>
        <w:t>Data Protection</w:t>
      </w:r>
      <w:r w:rsidRPr="00F5101E">
        <w:rPr>
          <w:rFonts w:ascii="Arial" w:hAnsi="Arial" w:cs="Arial"/>
        </w:rPr>
        <w:t xml:space="preserve">. Protection of personal privacy and data shall be an integral part of the business activities of </w:t>
      </w:r>
      <w:r>
        <w:rPr>
          <w:rFonts w:ascii="Arial" w:hAnsi="Arial" w:cs="Arial"/>
        </w:rPr>
        <w:t>Contractor</w:t>
      </w:r>
      <w:r w:rsidRPr="00F5101E">
        <w:rPr>
          <w:rFonts w:ascii="Arial" w:hAnsi="Arial" w:cs="Arial"/>
        </w:rPr>
        <w:t xml:space="preserve"> and designed to ensure that there is no inappropriate or unauthorized access to or use of Sensitive State Data at any time.  To this end, </w:t>
      </w:r>
      <w:r>
        <w:rPr>
          <w:rFonts w:ascii="Arial" w:hAnsi="Arial" w:cs="Arial"/>
        </w:rPr>
        <w:lastRenderedPageBreak/>
        <w:t>Contractor</w:t>
      </w:r>
      <w:r w:rsidRPr="00F5101E">
        <w:rPr>
          <w:rFonts w:ascii="Arial" w:hAnsi="Arial" w:cs="Arial"/>
        </w:rPr>
        <w:t xml:space="preserve"> shall safeguard the confidentiality, integrity, and availability of Sensitive State Data and comply with the following conditions:</w:t>
      </w:r>
    </w:p>
    <w:p w14:paraId="7C6DD980" w14:textId="77777777" w:rsidR="00BE4096" w:rsidRDefault="00BE4096" w:rsidP="00BE4096">
      <w:pPr>
        <w:pStyle w:val="ListParagraph"/>
        <w:numPr>
          <w:ilvl w:val="2"/>
          <w:numId w:val="3"/>
        </w:numPr>
        <w:spacing w:after="160" w:line="278" w:lineRule="auto"/>
        <w:ind w:left="1980"/>
        <w:contextualSpacing w:val="0"/>
        <w:rPr>
          <w:rFonts w:ascii="Arial" w:hAnsi="Arial" w:cs="Arial"/>
        </w:rPr>
      </w:pPr>
      <w:r w:rsidRPr="00F5101E">
        <w:rPr>
          <w:rFonts w:ascii="Arial" w:hAnsi="Arial" w:cs="Arial"/>
        </w:rPr>
        <w:t>Contractor shall maintain appropriate administrative, physical, and technical security measures to safeguard against unauthorized access, use, disclosure, alteration, or theft of Sensitive State Data. Such security measures shall be in accordance with current NIST 800-53 standards commensurate with the FISMA data classification specified by the State. If no data classification is specified by the State, in accordance with the measures applicable to the FISMA moderate classification.</w:t>
      </w:r>
    </w:p>
    <w:p w14:paraId="1D3E0667" w14:textId="77777777" w:rsidR="00BE4096" w:rsidRDefault="00BE4096" w:rsidP="00BE4096">
      <w:pPr>
        <w:pStyle w:val="ListParagraph"/>
        <w:numPr>
          <w:ilvl w:val="2"/>
          <w:numId w:val="3"/>
        </w:numPr>
        <w:spacing w:after="160" w:line="278" w:lineRule="auto"/>
        <w:ind w:left="1980"/>
        <w:contextualSpacing w:val="0"/>
        <w:rPr>
          <w:rFonts w:ascii="Arial" w:hAnsi="Arial" w:cs="Arial"/>
        </w:rPr>
      </w:pPr>
      <w:r>
        <w:rPr>
          <w:rFonts w:ascii="Arial" w:hAnsi="Arial" w:cs="Arial"/>
        </w:rPr>
        <w:t>Contractor</w:t>
      </w:r>
      <w:r w:rsidRPr="00F5101E">
        <w:rPr>
          <w:rFonts w:ascii="Arial" w:hAnsi="Arial" w:cs="Arial"/>
        </w:rPr>
        <w:t xml:space="preserve"> shall use industry best practices and up-to-date security tools, technologies, and practices such as network firewalls, anti-virus protections, vulnerability scans, system logging, 24x7 system monitoring, third-party penetration testing, and intrusion detection methods in providing services under this </w:t>
      </w:r>
      <w:r>
        <w:rPr>
          <w:rFonts w:ascii="Arial" w:hAnsi="Arial" w:cs="Arial"/>
        </w:rPr>
        <w:t>Contract</w:t>
      </w:r>
      <w:r w:rsidRPr="00F5101E">
        <w:rPr>
          <w:rFonts w:ascii="Arial" w:hAnsi="Arial" w:cs="Arial"/>
        </w:rPr>
        <w:t>.</w:t>
      </w:r>
    </w:p>
    <w:p w14:paraId="6F885D7B" w14:textId="77777777" w:rsidR="00BE4096" w:rsidRDefault="00BE4096" w:rsidP="00BE4096">
      <w:pPr>
        <w:pStyle w:val="ListParagraph"/>
        <w:numPr>
          <w:ilvl w:val="2"/>
          <w:numId w:val="3"/>
        </w:numPr>
        <w:spacing w:after="160" w:line="278" w:lineRule="auto"/>
        <w:ind w:left="1980"/>
        <w:contextualSpacing w:val="0"/>
        <w:rPr>
          <w:rFonts w:ascii="Arial" w:hAnsi="Arial" w:cs="Arial"/>
        </w:rPr>
      </w:pPr>
      <w:r w:rsidRPr="00F5101E">
        <w:rPr>
          <w:rFonts w:ascii="Arial" w:hAnsi="Arial" w:cs="Arial"/>
        </w:rPr>
        <w:t xml:space="preserve">Where the security objectives of confidentiality, authentication, non-repudiation, or data integrity are categorized FISMA compliance level moderate or higher, all electronic Sensitive State Data shall be encrypted using a cryptography method specified by the State while at rest on all devices controlled by </w:t>
      </w:r>
      <w:r>
        <w:rPr>
          <w:rFonts w:ascii="Arial" w:hAnsi="Arial" w:cs="Arial"/>
        </w:rPr>
        <w:t>Contractor</w:t>
      </w:r>
      <w:r w:rsidRPr="00F5101E">
        <w:rPr>
          <w:rFonts w:ascii="Arial" w:hAnsi="Arial" w:cs="Arial"/>
        </w:rPr>
        <w:t xml:space="preserve"> and in transit across public networks with controlled access. Unless otherwise provided in the </w:t>
      </w:r>
      <w:r>
        <w:rPr>
          <w:rFonts w:ascii="Arial" w:hAnsi="Arial" w:cs="Arial"/>
        </w:rPr>
        <w:t>Contract</w:t>
      </w:r>
      <w:r w:rsidRPr="00F5101E">
        <w:rPr>
          <w:rFonts w:ascii="Arial" w:hAnsi="Arial" w:cs="Arial"/>
        </w:rPr>
        <w:t xml:space="preserve">, </w:t>
      </w:r>
      <w:r>
        <w:rPr>
          <w:rFonts w:ascii="Arial" w:hAnsi="Arial" w:cs="Arial"/>
        </w:rPr>
        <w:t>Contractor</w:t>
      </w:r>
      <w:r w:rsidRPr="00F5101E">
        <w:rPr>
          <w:rFonts w:ascii="Arial" w:hAnsi="Arial" w:cs="Arial"/>
        </w:rPr>
        <w:t xml:space="preserve"> is responsible for encryption of the Sensitive State Data.</w:t>
      </w:r>
    </w:p>
    <w:p w14:paraId="5D771D23" w14:textId="77777777" w:rsidR="00BE4096" w:rsidRDefault="00BE4096" w:rsidP="00BE4096">
      <w:pPr>
        <w:pStyle w:val="ListParagraph"/>
        <w:numPr>
          <w:ilvl w:val="2"/>
          <w:numId w:val="3"/>
        </w:numPr>
        <w:spacing w:after="160" w:line="278" w:lineRule="auto"/>
        <w:ind w:left="1980"/>
        <w:contextualSpacing w:val="0"/>
        <w:rPr>
          <w:rFonts w:ascii="Arial" w:hAnsi="Arial" w:cs="Arial"/>
        </w:rPr>
      </w:pPr>
      <w:r w:rsidRPr="00F5101E">
        <w:rPr>
          <w:rFonts w:ascii="Arial" w:hAnsi="Arial" w:cs="Arial"/>
        </w:rPr>
        <w:t>Unless otherwise provided in the Contract, Contractor shall enforce separation of job duties, require commercially reasonable non-disclosure agreements, and limit staff knowledge of Sensitive State Data to that which is absolutely necessary to perform job duties.</w:t>
      </w:r>
    </w:p>
    <w:p w14:paraId="3DA59F75" w14:textId="0F116615" w:rsidR="00BE4096" w:rsidRDefault="00BE4096" w:rsidP="00BE4096">
      <w:pPr>
        <w:pStyle w:val="ListParagraph"/>
        <w:numPr>
          <w:ilvl w:val="2"/>
          <w:numId w:val="3"/>
        </w:numPr>
        <w:spacing w:after="160" w:line="278" w:lineRule="auto"/>
        <w:ind w:left="1980"/>
        <w:contextualSpacing w:val="0"/>
        <w:rPr>
          <w:rFonts w:ascii="Arial" w:hAnsi="Arial" w:cs="Arial"/>
        </w:rPr>
      </w:pPr>
      <w:r w:rsidRPr="00F5101E">
        <w:rPr>
          <w:rFonts w:ascii="Arial" w:hAnsi="Arial" w:cs="Arial"/>
        </w:rPr>
        <w:t xml:space="preserve">Contractor shall not disclose Sensitive State Data to any third party without the prior written consent of the State except as otherwise provided by the </w:t>
      </w:r>
      <w:r>
        <w:rPr>
          <w:rFonts w:ascii="Arial" w:hAnsi="Arial" w:cs="Arial"/>
        </w:rPr>
        <w:t>Contract</w:t>
      </w:r>
      <w:r w:rsidRPr="00F5101E">
        <w:rPr>
          <w:rFonts w:ascii="Arial" w:hAnsi="Arial" w:cs="Arial"/>
        </w:rPr>
        <w:t xml:space="preserve"> or required by law. Nor shall </w:t>
      </w:r>
      <w:r w:rsidR="00663854">
        <w:rPr>
          <w:rFonts w:ascii="Arial" w:hAnsi="Arial" w:cs="Arial"/>
        </w:rPr>
        <w:t>Contractor</w:t>
      </w:r>
      <w:r w:rsidRPr="00F5101E">
        <w:rPr>
          <w:rFonts w:ascii="Arial" w:hAnsi="Arial" w:cs="Arial"/>
        </w:rPr>
        <w:t xml:space="preserve"> </w:t>
      </w:r>
      <w:r w:rsidR="00663854" w:rsidRPr="00F5101E">
        <w:rPr>
          <w:rFonts w:ascii="Arial" w:hAnsi="Arial" w:cs="Arial"/>
        </w:rPr>
        <w:t>copy or</w:t>
      </w:r>
      <w:r w:rsidRPr="00F5101E">
        <w:rPr>
          <w:rFonts w:ascii="Arial" w:hAnsi="Arial" w:cs="Arial"/>
        </w:rPr>
        <w:t xml:space="preserve"> retain Sensitive State Data except as provided for in the RFX. </w:t>
      </w:r>
      <w:r>
        <w:rPr>
          <w:rFonts w:ascii="Arial" w:hAnsi="Arial" w:cs="Arial"/>
        </w:rPr>
        <w:t>Contractor</w:t>
      </w:r>
      <w:r w:rsidRPr="00F5101E">
        <w:rPr>
          <w:rFonts w:ascii="Arial" w:hAnsi="Arial" w:cs="Arial"/>
        </w:rPr>
        <w:t xml:space="preserve"> shall ensure that its employees and agents who will have potential access to Sensitive State Data have passed appropriate, industry standard background screening and, where applicable, federally mandated background screening and possess the qualifications and training to comply with the terms of this </w:t>
      </w:r>
      <w:r>
        <w:rPr>
          <w:rFonts w:ascii="Arial" w:hAnsi="Arial" w:cs="Arial"/>
        </w:rPr>
        <w:t>Contract</w:t>
      </w:r>
      <w:r w:rsidRPr="00F5101E">
        <w:rPr>
          <w:rFonts w:ascii="Arial" w:hAnsi="Arial" w:cs="Arial"/>
        </w:rPr>
        <w:t xml:space="preserve">. </w:t>
      </w:r>
      <w:r>
        <w:rPr>
          <w:rFonts w:ascii="Arial" w:hAnsi="Arial" w:cs="Arial"/>
        </w:rPr>
        <w:t>Contractor</w:t>
      </w:r>
      <w:r w:rsidRPr="00F5101E">
        <w:rPr>
          <w:rFonts w:ascii="Arial" w:hAnsi="Arial" w:cs="Arial"/>
        </w:rPr>
        <w:t xml:space="preserve"> shall promote and maintain an awareness of the importance of securing Sensitive State Data among </w:t>
      </w:r>
      <w:r>
        <w:rPr>
          <w:rFonts w:ascii="Arial" w:hAnsi="Arial" w:cs="Arial"/>
        </w:rPr>
        <w:t>Contractor</w:t>
      </w:r>
      <w:r w:rsidRPr="00F5101E">
        <w:rPr>
          <w:rFonts w:ascii="Arial" w:hAnsi="Arial" w:cs="Arial"/>
        </w:rPr>
        <w:t>’s employees and agents.</w:t>
      </w:r>
    </w:p>
    <w:p w14:paraId="15E319E2" w14:textId="77777777" w:rsidR="00BE4096" w:rsidRPr="00721946" w:rsidRDefault="00BE4096" w:rsidP="00BE4096">
      <w:pPr>
        <w:pStyle w:val="ListParagraph"/>
        <w:numPr>
          <w:ilvl w:val="1"/>
          <w:numId w:val="3"/>
        </w:numPr>
        <w:spacing w:after="160" w:line="278" w:lineRule="auto"/>
        <w:ind w:left="1260" w:hanging="720"/>
        <w:contextualSpacing w:val="0"/>
        <w:rPr>
          <w:rFonts w:ascii="Arial" w:hAnsi="Arial" w:cs="Arial"/>
        </w:rPr>
      </w:pPr>
      <w:r w:rsidRPr="00721946">
        <w:rPr>
          <w:rFonts w:ascii="Arial" w:hAnsi="Arial" w:cs="Arial"/>
          <w:b/>
          <w:bCs/>
        </w:rPr>
        <w:t>Data Location</w:t>
      </w:r>
      <w:r w:rsidRPr="00721946">
        <w:rPr>
          <w:rFonts w:ascii="Arial" w:hAnsi="Arial" w:cs="Arial"/>
        </w:rPr>
        <w:t xml:space="preserve">. In providing goods and services to the State, </w:t>
      </w:r>
      <w:r>
        <w:rPr>
          <w:rFonts w:ascii="Arial" w:hAnsi="Arial" w:cs="Arial"/>
        </w:rPr>
        <w:t>Contractor</w:t>
      </w:r>
      <w:r w:rsidRPr="00721946">
        <w:rPr>
          <w:rFonts w:ascii="Arial" w:hAnsi="Arial" w:cs="Arial"/>
        </w:rPr>
        <w:t xml:space="preserve"> shall access, store, and process Sensitive State Data solely from location(s) or data centers in the U.S. and </w:t>
      </w:r>
      <w:r>
        <w:rPr>
          <w:rFonts w:ascii="Arial" w:hAnsi="Arial" w:cs="Arial"/>
        </w:rPr>
        <w:t>Contractor</w:t>
      </w:r>
      <w:r w:rsidRPr="00721946">
        <w:rPr>
          <w:rFonts w:ascii="Arial" w:hAnsi="Arial" w:cs="Arial"/>
        </w:rPr>
        <w:t xml:space="preserve"> shall notify State of such locations. Storage of Sensitive State Data at rest shall be located solely in location(s) or data centers in the U.S. and </w:t>
      </w:r>
      <w:r>
        <w:rPr>
          <w:rFonts w:ascii="Arial" w:hAnsi="Arial" w:cs="Arial"/>
        </w:rPr>
        <w:t>Contractor</w:t>
      </w:r>
      <w:r w:rsidRPr="00721946">
        <w:rPr>
          <w:rFonts w:ascii="Arial" w:hAnsi="Arial" w:cs="Arial"/>
        </w:rPr>
        <w:t xml:space="preserve"> shall notify State of such locations. </w:t>
      </w:r>
      <w:r>
        <w:rPr>
          <w:rFonts w:ascii="Arial" w:hAnsi="Arial" w:cs="Arial"/>
        </w:rPr>
        <w:t>Contractor</w:t>
      </w:r>
      <w:r w:rsidRPr="00721946">
        <w:rPr>
          <w:rFonts w:ascii="Arial" w:hAnsi="Arial" w:cs="Arial"/>
        </w:rPr>
        <w:t xml:space="preserve"> shall not allow its personnel or Authorized Persons to store Sensitive State Data on portable devices, including personal computers, except for devices that are used and kept only at U.S. location(s) or data centers. </w:t>
      </w:r>
      <w:r>
        <w:rPr>
          <w:rFonts w:ascii="Arial" w:hAnsi="Arial" w:cs="Arial"/>
        </w:rPr>
        <w:t>Contractor</w:t>
      </w:r>
      <w:r w:rsidRPr="00721946">
        <w:rPr>
          <w:rFonts w:ascii="Arial" w:hAnsi="Arial" w:cs="Arial"/>
        </w:rPr>
        <w:t xml:space="preserve"> shall </w:t>
      </w:r>
      <w:r w:rsidRPr="00721946">
        <w:rPr>
          <w:rFonts w:ascii="Arial" w:hAnsi="Arial" w:cs="Arial"/>
        </w:rPr>
        <w:lastRenderedPageBreak/>
        <w:t xml:space="preserve">only permit its personnel and consultants to remotely access Sensitive State Data as required to provide goods and services under this </w:t>
      </w:r>
      <w:r>
        <w:rPr>
          <w:rFonts w:ascii="Arial" w:hAnsi="Arial" w:cs="Arial"/>
        </w:rPr>
        <w:t>Contract</w:t>
      </w:r>
      <w:r w:rsidRPr="00721946">
        <w:rPr>
          <w:rFonts w:ascii="Arial" w:hAnsi="Arial" w:cs="Arial"/>
        </w:rPr>
        <w:t xml:space="preserve"> and shall only allow such remote access from locations within the U.S.</w:t>
      </w:r>
    </w:p>
    <w:p w14:paraId="4464A66D" w14:textId="77777777" w:rsidR="00BE4096" w:rsidRDefault="00BE4096" w:rsidP="00BE4096">
      <w:pPr>
        <w:numPr>
          <w:ilvl w:val="0"/>
          <w:numId w:val="1"/>
        </w:numPr>
        <w:spacing w:after="160" w:line="278" w:lineRule="auto"/>
        <w:ind w:left="540" w:hanging="540"/>
        <w:rPr>
          <w:rFonts w:ascii="Arial" w:hAnsi="Arial" w:cs="Arial"/>
          <w:b/>
          <w:bCs/>
        </w:rPr>
      </w:pPr>
      <w:r w:rsidRPr="0058138D">
        <w:rPr>
          <w:rFonts w:ascii="Arial" w:hAnsi="Arial" w:cs="Arial"/>
          <w:b/>
          <w:bCs/>
        </w:rPr>
        <w:t>SECURITY INCIDENT AND DATA BREACH RESPONSIBILITIES</w:t>
      </w:r>
      <w:r w:rsidRPr="0058138D">
        <w:rPr>
          <w:rFonts w:ascii="Arial" w:hAnsi="Arial" w:cs="Arial"/>
          <w:b/>
          <w:bCs/>
        </w:rPr>
        <w:tab/>
      </w:r>
    </w:p>
    <w:p w14:paraId="64518DB2" w14:textId="77777777" w:rsidR="00BE4096" w:rsidRPr="00721946" w:rsidRDefault="00BE4096" w:rsidP="00BE4096">
      <w:pPr>
        <w:pStyle w:val="ListParagraph"/>
        <w:numPr>
          <w:ilvl w:val="1"/>
          <w:numId w:val="4"/>
        </w:numPr>
        <w:spacing w:after="160" w:line="278" w:lineRule="auto"/>
        <w:ind w:left="1260" w:hanging="720"/>
        <w:contextualSpacing w:val="0"/>
        <w:rPr>
          <w:rFonts w:ascii="Arial" w:hAnsi="Arial" w:cs="Arial"/>
          <w:b/>
          <w:bCs/>
        </w:rPr>
      </w:pPr>
      <w:r w:rsidRPr="00721946">
        <w:rPr>
          <w:rFonts w:ascii="Arial" w:hAnsi="Arial" w:cs="Arial"/>
          <w:b/>
          <w:bCs/>
        </w:rPr>
        <w:t>Incident Response</w:t>
      </w:r>
      <w:r w:rsidRPr="00721946">
        <w:rPr>
          <w:rFonts w:ascii="Arial" w:hAnsi="Arial" w:cs="Arial"/>
        </w:rPr>
        <w:t xml:space="preserve">. </w:t>
      </w:r>
      <w:r>
        <w:rPr>
          <w:rFonts w:ascii="Arial" w:hAnsi="Arial" w:cs="Arial"/>
        </w:rPr>
        <w:t>Contractor</w:t>
      </w:r>
      <w:r w:rsidRPr="00721946">
        <w:rPr>
          <w:rFonts w:ascii="Arial" w:hAnsi="Arial" w:cs="Arial"/>
        </w:rPr>
        <w:t xml:space="preserve"> shall inform the State of any Security Incident or Data Breach.</w:t>
      </w:r>
      <w:r w:rsidRPr="00721946">
        <w:rPr>
          <w:rFonts w:ascii="Arial" w:hAnsi="Arial" w:cs="Arial"/>
          <w:b/>
          <w:bCs/>
        </w:rPr>
        <w:t xml:space="preserve"> </w:t>
      </w:r>
      <w:r>
        <w:rPr>
          <w:rFonts w:ascii="Arial" w:hAnsi="Arial" w:cs="Arial"/>
        </w:rPr>
        <w:t>Contractor</w:t>
      </w:r>
      <w:r w:rsidRPr="00721946">
        <w:rPr>
          <w:rFonts w:ascii="Arial" w:hAnsi="Arial" w:cs="Arial"/>
        </w:rPr>
        <w:t xml:space="preserve"> may need to communicate with outside parties regarding a Security Incident or Data Breach, which may include contacting law enforcement, fielding media inquiries, and seeking external expertise as mutually agreed upon, defined by law, or contained in the </w:t>
      </w:r>
      <w:r>
        <w:rPr>
          <w:rFonts w:ascii="Arial" w:hAnsi="Arial" w:cs="Arial"/>
        </w:rPr>
        <w:t>Contract</w:t>
      </w:r>
      <w:r w:rsidRPr="00721946">
        <w:rPr>
          <w:rFonts w:ascii="Arial" w:hAnsi="Arial" w:cs="Arial"/>
        </w:rPr>
        <w:t xml:space="preserve">. Discussing security incidents with the State should be handled on an urgent as-needed basis, as part of </w:t>
      </w:r>
      <w:r>
        <w:rPr>
          <w:rFonts w:ascii="Arial" w:hAnsi="Arial" w:cs="Arial"/>
        </w:rPr>
        <w:t>Contractor’s</w:t>
      </w:r>
      <w:r w:rsidRPr="00721946">
        <w:rPr>
          <w:rFonts w:ascii="Arial" w:hAnsi="Arial" w:cs="Arial"/>
        </w:rPr>
        <w:t xml:space="preserve"> communication and mitigation processes as mutually agreed upon, defined by law, or contained in the </w:t>
      </w:r>
      <w:r>
        <w:rPr>
          <w:rFonts w:ascii="Arial" w:hAnsi="Arial" w:cs="Arial"/>
        </w:rPr>
        <w:t>Contract</w:t>
      </w:r>
      <w:r w:rsidRPr="00721946">
        <w:rPr>
          <w:rFonts w:ascii="Arial" w:hAnsi="Arial" w:cs="Arial"/>
        </w:rPr>
        <w:t>. Any contacting of law enforcement on matters regarding State systems or data must be followed by a report to the Georgia Information Sharing and Analysis Center (GISAC) at (404) 561-8497.</w:t>
      </w:r>
    </w:p>
    <w:p w14:paraId="27B5C74C" w14:textId="77777777" w:rsidR="00BE4096" w:rsidRPr="00721946" w:rsidRDefault="00BE4096" w:rsidP="00BE4096">
      <w:pPr>
        <w:pStyle w:val="ListParagraph"/>
        <w:numPr>
          <w:ilvl w:val="1"/>
          <w:numId w:val="4"/>
        </w:numPr>
        <w:spacing w:after="160" w:line="278" w:lineRule="auto"/>
        <w:ind w:left="1260" w:hanging="720"/>
        <w:contextualSpacing w:val="0"/>
        <w:rPr>
          <w:rFonts w:ascii="Arial" w:hAnsi="Arial" w:cs="Arial"/>
          <w:b/>
          <w:bCs/>
        </w:rPr>
      </w:pPr>
      <w:r w:rsidRPr="00721946">
        <w:rPr>
          <w:rFonts w:ascii="Arial" w:hAnsi="Arial" w:cs="Arial"/>
          <w:b/>
          <w:bCs/>
        </w:rPr>
        <w:t>Security Incident and Data Breach Reporting Requirements</w:t>
      </w:r>
      <w:r w:rsidRPr="00721946">
        <w:rPr>
          <w:rFonts w:ascii="Arial" w:hAnsi="Arial" w:cs="Arial"/>
        </w:rPr>
        <w:t xml:space="preserve">. Upon becoming aware of a Security Incident or Data Breach, </w:t>
      </w:r>
      <w:r>
        <w:rPr>
          <w:rFonts w:ascii="Arial" w:hAnsi="Arial" w:cs="Arial"/>
        </w:rPr>
        <w:t>Contractor</w:t>
      </w:r>
      <w:r w:rsidRPr="00721946">
        <w:rPr>
          <w:rFonts w:ascii="Arial" w:hAnsi="Arial" w:cs="Arial"/>
        </w:rPr>
        <w:t xml:space="preserve"> shall:</w:t>
      </w:r>
    </w:p>
    <w:p w14:paraId="03AB7C17" w14:textId="77777777" w:rsidR="00BE4096" w:rsidRPr="00721946" w:rsidRDefault="00BE4096" w:rsidP="00BE4096">
      <w:pPr>
        <w:pStyle w:val="ListParagraph"/>
        <w:numPr>
          <w:ilvl w:val="2"/>
          <w:numId w:val="4"/>
        </w:numPr>
        <w:spacing w:after="160" w:line="278" w:lineRule="auto"/>
        <w:ind w:left="1980"/>
        <w:contextualSpacing w:val="0"/>
        <w:rPr>
          <w:rFonts w:ascii="Arial" w:hAnsi="Arial" w:cs="Arial"/>
          <w:b/>
          <w:bCs/>
        </w:rPr>
      </w:pPr>
      <w:r w:rsidRPr="00721946">
        <w:rPr>
          <w:rFonts w:ascii="Arial" w:hAnsi="Arial" w:cs="Arial"/>
        </w:rPr>
        <w:t xml:space="preserve">Promptly notify the State identified contact within twenty-four hours of discovery or sooner, unless shorter time is required by the </w:t>
      </w:r>
      <w:r>
        <w:rPr>
          <w:rFonts w:ascii="Arial" w:hAnsi="Arial" w:cs="Arial"/>
        </w:rPr>
        <w:t>Contract</w:t>
      </w:r>
      <w:r w:rsidRPr="00721946">
        <w:rPr>
          <w:rFonts w:ascii="Arial" w:hAnsi="Arial" w:cs="Arial"/>
        </w:rPr>
        <w:t xml:space="preserve"> or applicable law;</w:t>
      </w:r>
    </w:p>
    <w:p w14:paraId="64C42AC9" w14:textId="77777777" w:rsidR="00BE4096" w:rsidRPr="00721946" w:rsidRDefault="00BE4096" w:rsidP="00BE4096">
      <w:pPr>
        <w:pStyle w:val="ListParagraph"/>
        <w:numPr>
          <w:ilvl w:val="2"/>
          <w:numId w:val="4"/>
        </w:numPr>
        <w:spacing w:after="160" w:line="278" w:lineRule="auto"/>
        <w:ind w:left="1980"/>
        <w:contextualSpacing w:val="0"/>
        <w:rPr>
          <w:rFonts w:ascii="Arial" w:hAnsi="Arial" w:cs="Arial"/>
          <w:b/>
          <w:bCs/>
        </w:rPr>
      </w:pPr>
      <w:r w:rsidRPr="00721946">
        <w:rPr>
          <w:rFonts w:ascii="Arial" w:hAnsi="Arial" w:cs="Arial"/>
        </w:rPr>
        <w:t xml:space="preserve">Fully investigate the Security Incident or Data Breach and cooperate fully with the State’s investigation of and response thereto. Except as otherwise required by law, </w:t>
      </w:r>
      <w:r>
        <w:rPr>
          <w:rFonts w:ascii="Arial" w:hAnsi="Arial" w:cs="Arial"/>
        </w:rPr>
        <w:t>Contractor</w:t>
      </w:r>
      <w:r w:rsidRPr="00721946">
        <w:rPr>
          <w:rFonts w:ascii="Arial" w:hAnsi="Arial" w:cs="Arial"/>
        </w:rPr>
        <w:t xml:space="preserve"> shall not provide notice of the Security Incident or Data Breach directly to individuals whose Personally Identifiable Information was involved, regulatory agencies, or other entities, without prior written permission from the State;</w:t>
      </w:r>
    </w:p>
    <w:p w14:paraId="54AA5635" w14:textId="77777777" w:rsidR="00BE4096" w:rsidRPr="00721946" w:rsidRDefault="00BE4096" w:rsidP="00BE4096">
      <w:pPr>
        <w:pStyle w:val="ListParagraph"/>
        <w:numPr>
          <w:ilvl w:val="2"/>
          <w:numId w:val="4"/>
        </w:numPr>
        <w:spacing w:after="160" w:line="278" w:lineRule="auto"/>
        <w:ind w:left="1980"/>
        <w:contextualSpacing w:val="0"/>
        <w:rPr>
          <w:rFonts w:ascii="Arial" w:hAnsi="Arial" w:cs="Arial"/>
          <w:b/>
          <w:bCs/>
        </w:rPr>
      </w:pPr>
      <w:r w:rsidRPr="00721946">
        <w:rPr>
          <w:rFonts w:ascii="Arial" w:hAnsi="Arial" w:cs="Arial"/>
        </w:rPr>
        <w:t>Promptly implement necessary remedial measures reasonably determined by the State; and</w:t>
      </w:r>
    </w:p>
    <w:p w14:paraId="25BA0C64" w14:textId="77777777" w:rsidR="00BE4096" w:rsidRPr="00721946" w:rsidRDefault="00BE4096" w:rsidP="00BE4096">
      <w:pPr>
        <w:pStyle w:val="ListParagraph"/>
        <w:numPr>
          <w:ilvl w:val="2"/>
          <w:numId w:val="4"/>
        </w:numPr>
        <w:spacing w:after="160" w:line="278" w:lineRule="auto"/>
        <w:ind w:left="1980"/>
        <w:contextualSpacing w:val="0"/>
        <w:rPr>
          <w:rFonts w:ascii="Arial" w:hAnsi="Arial" w:cs="Arial"/>
          <w:b/>
          <w:bCs/>
        </w:rPr>
      </w:pPr>
      <w:r w:rsidRPr="00721946">
        <w:rPr>
          <w:rFonts w:ascii="Arial" w:hAnsi="Arial" w:cs="Arial"/>
        </w:rPr>
        <w:t>Document responsible actions taken related to the Data Breach, including any post-incident review of events and actions taken to make changes in business practices in providing the services, if necessary.</w:t>
      </w:r>
    </w:p>
    <w:p w14:paraId="6D7A29B3" w14:textId="77777777" w:rsidR="00BE4096" w:rsidRPr="00721946" w:rsidRDefault="00BE4096" w:rsidP="00BE4096">
      <w:pPr>
        <w:pStyle w:val="ListParagraph"/>
        <w:numPr>
          <w:ilvl w:val="2"/>
          <w:numId w:val="4"/>
        </w:numPr>
        <w:spacing w:after="160" w:line="278" w:lineRule="auto"/>
        <w:ind w:left="1980"/>
        <w:contextualSpacing w:val="0"/>
        <w:rPr>
          <w:rFonts w:ascii="Arial" w:hAnsi="Arial" w:cs="Arial"/>
          <w:b/>
          <w:bCs/>
        </w:rPr>
      </w:pPr>
      <w:r w:rsidRPr="00721946">
        <w:rPr>
          <w:rFonts w:ascii="Arial" w:hAnsi="Arial" w:cs="Arial"/>
        </w:rPr>
        <w:t xml:space="preserve">Contractor will provide daily updates, or more frequently if required by the State, regarding findings and actions performed by </w:t>
      </w:r>
      <w:r>
        <w:rPr>
          <w:rFonts w:ascii="Arial" w:hAnsi="Arial" w:cs="Arial"/>
        </w:rPr>
        <w:t>Contractor</w:t>
      </w:r>
      <w:r w:rsidRPr="00721946">
        <w:rPr>
          <w:rFonts w:ascii="Arial" w:hAnsi="Arial" w:cs="Arial"/>
        </w:rPr>
        <w:t xml:space="preserve"> to the State Identified Contact until the Data Breach has been effectively resolved to the State’s satisfaction.</w:t>
      </w:r>
    </w:p>
    <w:p w14:paraId="029E9BE9" w14:textId="77777777" w:rsidR="00BE4096" w:rsidRPr="00721946" w:rsidRDefault="00BE4096" w:rsidP="00BE4096">
      <w:pPr>
        <w:pStyle w:val="ListParagraph"/>
        <w:numPr>
          <w:ilvl w:val="2"/>
          <w:numId w:val="4"/>
        </w:numPr>
        <w:spacing w:after="160" w:line="278" w:lineRule="auto"/>
        <w:ind w:left="1980"/>
        <w:contextualSpacing w:val="0"/>
        <w:rPr>
          <w:rFonts w:ascii="Arial" w:hAnsi="Arial" w:cs="Arial"/>
          <w:b/>
          <w:bCs/>
        </w:rPr>
      </w:pPr>
      <w:r w:rsidRPr="00721946">
        <w:rPr>
          <w:rFonts w:ascii="Arial" w:hAnsi="Arial" w:cs="Arial"/>
        </w:rPr>
        <w:t>Contractor shall quarantine the Data Breach, ensure secure access to Data, and repair IaaS and/or PaaS as needed in accordance with the SOW and/or SLA. Failure to do so may result in the State exercising its options for assessing damages or other remedies under this Contract.</w:t>
      </w:r>
    </w:p>
    <w:p w14:paraId="19CFF211" w14:textId="77777777" w:rsidR="00BE4096" w:rsidRDefault="00BE4096" w:rsidP="00663854">
      <w:pPr>
        <w:keepNext/>
        <w:numPr>
          <w:ilvl w:val="0"/>
          <w:numId w:val="1"/>
        </w:numPr>
        <w:spacing w:after="160" w:line="278" w:lineRule="auto"/>
        <w:ind w:left="547" w:hanging="547"/>
        <w:rPr>
          <w:rFonts w:ascii="Arial" w:hAnsi="Arial" w:cs="Arial"/>
          <w:b/>
          <w:bCs/>
        </w:rPr>
      </w:pPr>
      <w:r w:rsidRPr="0058138D">
        <w:rPr>
          <w:rFonts w:ascii="Arial" w:hAnsi="Arial" w:cs="Arial"/>
          <w:b/>
          <w:bCs/>
        </w:rPr>
        <w:lastRenderedPageBreak/>
        <w:t>LIABILITY</w:t>
      </w:r>
    </w:p>
    <w:p w14:paraId="59864766" w14:textId="77777777" w:rsidR="00BE4096" w:rsidRPr="00721946" w:rsidRDefault="00BE4096" w:rsidP="00BE4096">
      <w:pPr>
        <w:pStyle w:val="ListParagraph"/>
        <w:numPr>
          <w:ilvl w:val="1"/>
          <w:numId w:val="5"/>
        </w:numPr>
        <w:spacing w:after="160" w:line="278" w:lineRule="auto"/>
        <w:ind w:left="1260" w:hanging="720"/>
        <w:contextualSpacing w:val="0"/>
        <w:rPr>
          <w:rFonts w:ascii="Arial" w:hAnsi="Arial" w:cs="Arial"/>
          <w:b/>
          <w:bCs/>
        </w:rPr>
      </w:pPr>
      <w:r w:rsidRPr="00721946">
        <w:rPr>
          <w:rFonts w:ascii="Arial" w:hAnsi="Arial" w:cs="Arial"/>
        </w:rPr>
        <w:t xml:space="preserve">If Contractor will under this Contract create, obtain, transmit, use, maintain, process, or dispose of the subset of Sensitive State Data known as Personally Identifiable Information, the following provisions apply: In addition to any other remedies available to the State under law or equity, </w:t>
      </w:r>
      <w:r>
        <w:rPr>
          <w:rFonts w:ascii="Arial" w:hAnsi="Arial" w:cs="Arial"/>
        </w:rPr>
        <w:t>Contractor</w:t>
      </w:r>
      <w:r w:rsidRPr="00721946">
        <w:rPr>
          <w:rFonts w:ascii="Arial" w:hAnsi="Arial" w:cs="Arial"/>
        </w:rPr>
        <w:t xml:space="preserve"> shall reimburse the State in full for all costs incurred by the State in investigation and remediation of any Data Breach or Security Incident caused by </w:t>
      </w:r>
      <w:r>
        <w:rPr>
          <w:rFonts w:ascii="Arial" w:hAnsi="Arial" w:cs="Arial"/>
        </w:rPr>
        <w:t>Contractor</w:t>
      </w:r>
      <w:r w:rsidRPr="00721946">
        <w:rPr>
          <w:rFonts w:ascii="Arial" w:hAnsi="Arial" w:cs="Arial"/>
        </w:rPr>
        <w:t>, including but not limited to providing notification to individuals whose Personally Identifiable Information was compromised and to regulatory agencies or other entities as required by law or contract; a website or toll-free number and call center for affected individuals required by law, providing one year’s credit monitoring to the affected individuals if the Personally Identifiable Information exposed during the breach could be used to commit financial identity theft; and the payment of legal fees, audit costs, fines, and other fees imposed by regulatory agencies or contracting partners as a result of the Data Breach or Security Incident.</w:t>
      </w:r>
      <w:r w:rsidRPr="00721946">
        <w:rPr>
          <w:rFonts w:ascii="Arial" w:hAnsi="Arial" w:cs="Arial"/>
        </w:rPr>
        <w:tab/>
      </w:r>
    </w:p>
    <w:p w14:paraId="0F6E0101" w14:textId="77777777" w:rsidR="00BE4096" w:rsidRPr="00721946" w:rsidRDefault="00BE4096" w:rsidP="00BE4096">
      <w:pPr>
        <w:pStyle w:val="ListParagraph"/>
        <w:numPr>
          <w:ilvl w:val="1"/>
          <w:numId w:val="5"/>
        </w:numPr>
        <w:spacing w:after="160" w:line="278" w:lineRule="auto"/>
        <w:ind w:left="1260" w:hanging="720"/>
        <w:contextualSpacing w:val="0"/>
        <w:rPr>
          <w:rFonts w:ascii="Arial" w:hAnsi="Arial" w:cs="Arial"/>
          <w:b/>
          <w:bCs/>
        </w:rPr>
      </w:pPr>
      <w:r w:rsidRPr="00721946">
        <w:rPr>
          <w:rFonts w:ascii="Arial" w:hAnsi="Arial" w:cs="Arial"/>
        </w:rPr>
        <w:t xml:space="preserve">If </w:t>
      </w:r>
      <w:r>
        <w:rPr>
          <w:rFonts w:ascii="Arial" w:hAnsi="Arial" w:cs="Arial"/>
        </w:rPr>
        <w:t>Contractor</w:t>
      </w:r>
      <w:r w:rsidRPr="00721946">
        <w:rPr>
          <w:rFonts w:ascii="Arial" w:hAnsi="Arial" w:cs="Arial"/>
        </w:rPr>
        <w:t xml:space="preserve"> will NOT under this </w:t>
      </w:r>
      <w:r>
        <w:rPr>
          <w:rFonts w:ascii="Arial" w:hAnsi="Arial" w:cs="Arial"/>
        </w:rPr>
        <w:t>Contract</w:t>
      </w:r>
      <w:r w:rsidRPr="00721946">
        <w:rPr>
          <w:rFonts w:ascii="Arial" w:hAnsi="Arial" w:cs="Arial"/>
        </w:rPr>
        <w:t xml:space="preserve"> create, obtain, transmit, use, maintain, process, or dispose of the subset of Sensitive State Data known as Personally Identifiable Information, the following provisions apply: In addition to any other remedies available to the State under law or equity, </w:t>
      </w:r>
      <w:r>
        <w:rPr>
          <w:rFonts w:ascii="Arial" w:hAnsi="Arial" w:cs="Arial"/>
        </w:rPr>
        <w:t>Contractor</w:t>
      </w:r>
      <w:r w:rsidRPr="00721946">
        <w:rPr>
          <w:rFonts w:ascii="Arial" w:hAnsi="Arial" w:cs="Arial"/>
        </w:rPr>
        <w:t xml:space="preserve"> will reimburse the State in full for all costs reasonably incurred by the State in investigation and remediation of any Data Breach or Security Incident caused by </w:t>
      </w:r>
      <w:r>
        <w:rPr>
          <w:rFonts w:ascii="Arial" w:hAnsi="Arial" w:cs="Arial"/>
        </w:rPr>
        <w:t>Contractor</w:t>
      </w:r>
      <w:r w:rsidRPr="00721946">
        <w:rPr>
          <w:rFonts w:ascii="Arial" w:hAnsi="Arial" w:cs="Arial"/>
        </w:rPr>
        <w:t>.</w:t>
      </w:r>
    </w:p>
    <w:p w14:paraId="0A293AE4" w14:textId="77777777" w:rsidR="00BE4096" w:rsidRPr="0058138D" w:rsidRDefault="00BE4096" w:rsidP="00BE4096">
      <w:pPr>
        <w:numPr>
          <w:ilvl w:val="0"/>
          <w:numId w:val="1"/>
        </w:numPr>
        <w:spacing w:after="160" w:line="278" w:lineRule="auto"/>
        <w:ind w:left="540" w:hanging="540"/>
        <w:rPr>
          <w:rFonts w:ascii="Arial" w:hAnsi="Arial" w:cs="Arial"/>
          <w:b/>
          <w:bCs/>
        </w:rPr>
      </w:pPr>
      <w:r w:rsidRPr="0058138D">
        <w:rPr>
          <w:rFonts w:ascii="Arial" w:hAnsi="Arial" w:cs="Arial"/>
          <w:b/>
          <w:bCs/>
        </w:rPr>
        <w:t>SECURITY</w:t>
      </w:r>
    </w:p>
    <w:p w14:paraId="6AC4E0CB" w14:textId="77777777" w:rsidR="00BE4096" w:rsidRPr="00721946" w:rsidRDefault="00BE4096" w:rsidP="00BE4096">
      <w:pPr>
        <w:pStyle w:val="ListParagraph"/>
        <w:numPr>
          <w:ilvl w:val="1"/>
          <w:numId w:val="6"/>
        </w:numPr>
        <w:spacing w:after="160" w:line="278" w:lineRule="auto"/>
        <w:ind w:left="1260" w:hanging="720"/>
        <w:contextualSpacing w:val="0"/>
        <w:rPr>
          <w:rFonts w:ascii="Arial" w:hAnsi="Arial" w:cs="Arial"/>
          <w:b/>
          <w:bCs/>
        </w:rPr>
      </w:pPr>
      <w:r w:rsidRPr="00721946">
        <w:rPr>
          <w:rFonts w:ascii="Arial" w:hAnsi="Arial" w:cs="Arial"/>
          <w:b/>
          <w:bCs/>
        </w:rPr>
        <w:t>Data Center Audit</w:t>
      </w:r>
      <w:r w:rsidRPr="00721946">
        <w:rPr>
          <w:rFonts w:ascii="Arial" w:hAnsi="Arial" w:cs="Arial"/>
        </w:rPr>
        <w:t xml:space="preserve">. If applicable in the provision of the goods and services covered by this </w:t>
      </w:r>
      <w:r>
        <w:rPr>
          <w:rFonts w:ascii="Arial" w:hAnsi="Arial" w:cs="Arial"/>
        </w:rPr>
        <w:t>Contract</w:t>
      </w:r>
      <w:r w:rsidRPr="00721946">
        <w:rPr>
          <w:rFonts w:ascii="Arial" w:hAnsi="Arial" w:cs="Arial"/>
        </w:rPr>
        <w:t xml:space="preserve">, </w:t>
      </w:r>
      <w:r>
        <w:rPr>
          <w:rFonts w:ascii="Arial" w:hAnsi="Arial" w:cs="Arial"/>
        </w:rPr>
        <w:t>Contractor</w:t>
      </w:r>
      <w:r w:rsidRPr="00721946">
        <w:rPr>
          <w:rFonts w:ascii="Arial" w:hAnsi="Arial" w:cs="Arial"/>
        </w:rPr>
        <w:t xml:space="preserve"> shall ensure an independent audit or provide ISO 27001 certification of its data centers at least annually at its expense and provide a copy of the audit report upon request. A Service Organization Control (SOC) 2 Type II audit report or approved equivalent (the ISO 27001 certification, State RAMP certification, or FedRAMP certification) sets the minimum level of a third-party audit.</w:t>
      </w:r>
    </w:p>
    <w:p w14:paraId="1DF0ACC8" w14:textId="77777777" w:rsidR="00BE4096" w:rsidRPr="00721946" w:rsidRDefault="00BE4096" w:rsidP="00BE4096">
      <w:pPr>
        <w:pStyle w:val="ListParagraph"/>
        <w:numPr>
          <w:ilvl w:val="1"/>
          <w:numId w:val="6"/>
        </w:numPr>
        <w:spacing w:after="160" w:line="278" w:lineRule="auto"/>
        <w:ind w:left="1260" w:hanging="720"/>
        <w:contextualSpacing w:val="0"/>
        <w:rPr>
          <w:rFonts w:ascii="Arial" w:hAnsi="Arial" w:cs="Arial"/>
          <w:b/>
          <w:bCs/>
        </w:rPr>
      </w:pPr>
      <w:r w:rsidRPr="00721946">
        <w:rPr>
          <w:rFonts w:ascii="Arial" w:hAnsi="Arial" w:cs="Arial"/>
          <w:b/>
          <w:bCs/>
        </w:rPr>
        <w:t>Security Processes</w:t>
      </w:r>
      <w:r w:rsidRPr="00721946">
        <w:rPr>
          <w:rFonts w:ascii="Arial" w:hAnsi="Arial" w:cs="Arial"/>
        </w:rPr>
        <w:t xml:space="preserve">. </w:t>
      </w:r>
      <w:r>
        <w:rPr>
          <w:rFonts w:ascii="Arial" w:hAnsi="Arial" w:cs="Arial"/>
        </w:rPr>
        <w:t>Contractor</w:t>
      </w:r>
      <w:r w:rsidRPr="00721946">
        <w:rPr>
          <w:rFonts w:ascii="Arial" w:hAnsi="Arial" w:cs="Arial"/>
        </w:rPr>
        <w:t xml:space="preserve"> shall disclose its non-proprietary security processes and technical limitations to the State such that adequate protection and flexibility can be attained between the State and </w:t>
      </w:r>
      <w:r>
        <w:rPr>
          <w:rFonts w:ascii="Arial" w:hAnsi="Arial" w:cs="Arial"/>
        </w:rPr>
        <w:t>Contractor</w:t>
      </w:r>
      <w:r w:rsidRPr="00721946">
        <w:rPr>
          <w:rFonts w:ascii="Arial" w:hAnsi="Arial" w:cs="Arial"/>
        </w:rPr>
        <w:t>.</w:t>
      </w:r>
    </w:p>
    <w:p w14:paraId="352130D3" w14:textId="77777777" w:rsidR="00BE4096" w:rsidRPr="00721946" w:rsidRDefault="00BE4096" w:rsidP="00BE4096">
      <w:pPr>
        <w:pStyle w:val="ListParagraph"/>
        <w:numPr>
          <w:ilvl w:val="1"/>
          <w:numId w:val="6"/>
        </w:numPr>
        <w:spacing w:after="160" w:line="278" w:lineRule="auto"/>
        <w:ind w:left="1260" w:hanging="720"/>
        <w:contextualSpacing w:val="0"/>
        <w:rPr>
          <w:rFonts w:ascii="Arial" w:hAnsi="Arial" w:cs="Arial"/>
          <w:b/>
          <w:bCs/>
        </w:rPr>
      </w:pPr>
      <w:r w:rsidRPr="00721946">
        <w:rPr>
          <w:rFonts w:ascii="Arial" w:hAnsi="Arial" w:cs="Arial"/>
          <w:b/>
          <w:bCs/>
        </w:rPr>
        <w:t>Encryption of Data at Rest</w:t>
      </w:r>
      <w:r w:rsidRPr="00721946">
        <w:rPr>
          <w:rFonts w:ascii="Arial" w:hAnsi="Arial" w:cs="Arial"/>
        </w:rPr>
        <w:t xml:space="preserve">. For data categorized as moderate or high in Federal Information Processing Standard 199, </w:t>
      </w:r>
      <w:r>
        <w:rPr>
          <w:rFonts w:ascii="Arial" w:hAnsi="Arial" w:cs="Arial"/>
        </w:rPr>
        <w:t>Contractor</w:t>
      </w:r>
      <w:r w:rsidRPr="00721946">
        <w:rPr>
          <w:rFonts w:ascii="Arial" w:hAnsi="Arial" w:cs="Arial"/>
        </w:rPr>
        <w:t xml:space="preserve"> shall ensure confidentiality and integrity of information at rest consistent with security control SC-28, Protection of Information at Rest, using control enhancement 1, Cryptographic Protection, in NIST Special Publication 800-53.</w:t>
      </w:r>
    </w:p>
    <w:p w14:paraId="555AE305" w14:textId="77777777" w:rsidR="00BE4096" w:rsidRPr="0058138D" w:rsidRDefault="00BE4096" w:rsidP="00BE4096">
      <w:pPr>
        <w:keepNext/>
        <w:numPr>
          <w:ilvl w:val="0"/>
          <w:numId w:val="1"/>
        </w:numPr>
        <w:spacing w:after="160" w:line="278" w:lineRule="auto"/>
        <w:ind w:left="547" w:hanging="547"/>
        <w:rPr>
          <w:rFonts w:ascii="Arial" w:hAnsi="Arial" w:cs="Arial"/>
        </w:rPr>
      </w:pPr>
      <w:r w:rsidRPr="0058138D">
        <w:rPr>
          <w:rFonts w:ascii="Arial" w:hAnsi="Arial" w:cs="Arial"/>
          <w:b/>
          <w:bCs/>
        </w:rPr>
        <w:t>RESPONSE TO LEGAL ORDERS, DEMANDS, OR REQUESTS FOR DATA</w:t>
      </w:r>
    </w:p>
    <w:p w14:paraId="1AC424E3" w14:textId="77777777" w:rsidR="00BE4096" w:rsidRDefault="00BE4096" w:rsidP="00BE4096">
      <w:pPr>
        <w:pStyle w:val="ListParagraph"/>
        <w:numPr>
          <w:ilvl w:val="1"/>
          <w:numId w:val="7"/>
        </w:numPr>
        <w:spacing w:after="160" w:line="278" w:lineRule="auto"/>
        <w:ind w:left="1260" w:hanging="720"/>
        <w:contextualSpacing w:val="0"/>
        <w:rPr>
          <w:rFonts w:ascii="Arial" w:hAnsi="Arial" w:cs="Arial"/>
        </w:rPr>
      </w:pPr>
      <w:r w:rsidRPr="00721946">
        <w:rPr>
          <w:rFonts w:ascii="Arial" w:hAnsi="Arial" w:cs="Arial"/>
        </w:rPr>
        <w:t xml:space="preserve">Except as otherwise expressly prohibited by law, </w:t>
      </w:r>
      <w:r>
        <w:rPr>
          <w:rFonts w:ascii="Arial" w:hAnsi="Arial" w:cs="Arial"/>
        </w:rPr>
        <w:t>Contractor</w:t>
      </w:r>
      <w:r w:rsidRPr="00721946">
        <w:rPr>
          <w:rFonts w:ascii="Arial" w:hAnsi="Arial" w:cs="Arial"/>
        </w:rPr>
        <w:t xml:space="preserve"> shall:</w:t>
      </w:r>
    </w:p>
    <w:p w14:paraId="71C7EBC8" w14:textId="77777777" w:rsidR="00BE4096" w:rsidRDefault="00BE4096" w:rsidP="00BE4096">
      <w:pPr>
        <w:pStyle w:val="ListParagraph"/>
        <w:numPr>
          <w:ilvl w:val="2"/>
          <w:numId w:val="7"/>
        </w:numPr>
        <w:spacing w:after="160" w:line="278" w:lineRule="auto"/>
        <w:ind w:left="1980"/>
        <w:contextualSpacing w:val="0"/>
        <w:rPr>
          <w:rFonts w:ascii="Arial" w:hAnsi="Arial" w:cs="Arial"/>
        </w:rPr>
      </w:pPr>
      <w:r w:rsidRPr="00721946">
        <w:rPr>
          <w:rFonts w:ascii="Arial" w:hAnsi="Arial" w:cs="Arial"/>
        </w:rPr>
        <w:t xml:space="preserve">Immediately notify the State of any subpoenas, warrants, or other legal orders, demands or requests received by </w:t>
      </w:r>
      <w:r>
        <w:rPr>
          <w:rFonts w:ascii="Arial" w:hAnsi="Arial" w:cs="Arial"/>
        </w:rPr>
        <w:t>Contractor</w:t>
      </w:r>
      <w:r w:rsidRPr="00721946">
        <w:rPr>
          <w:rFonts w:ascii="Arial" w:hAnsi="Arial" w:cs="Arial"/>
        </w:rPr>
        <w:t xml:space="preserve"> seeking Sensitive State Data;</w:t>
      </w:r>
    </w:p>
    <w:p w14:paraId="1DAD5743" w14:textId="77777777" w:rsidR="00BE4096" w:rsidRDefault="00BE4096" w:rsidP="00BE4096">
      <w:pPr>
        <w:pStyle w:val="ListParagraph"/>
        <w:numPr>
          <w:ilvl w:val="2"/>
          <w:numId w:val="7"/>
        </w:numPr>
        <w:spacing w:after="160" w:line="278" w:lineRule="auto"/>
        <w:ind w:left="1980"/>
        <w:contextualSpacing w:val="0"/>
        <w:rPr>
          <w:rFonts w:ascii="Arial" w:hAnsi="Arial" w:cs="Arial"/>
        </w:rPr>
      </w:pPr>
      <w:r w:rsidRPr="00721946">
        <w:rPr>
          <w:rFonts w:ascii="Arial" w:hAnsi="Arial" w:cs="Arial"/>
        </w:rPr>
        <w:lastRenderedPageBreak/>
        <w:t>Consult with the State regarding its response;</w:t>
      </w:r>
    </w:p>
    <w:p w14:paraId="1DF965B5" w14:textId="77777777" w:rsidR="00BE4096" w:rsidRDefault="00BE4096" w:rsidP="00BE4096">
      <w:pPr>
        <w:pStyle w:val="ListParagraph"/>
        <w:numPr>
          <w:ilvl w:val="2"/>
          <w:numId w:val="7"/>
        </w:numPr>
        <w:spacing w:after="160" w:line="278" w:lineRule="auto"/>
        <w:ind w:left="1980"/>
        <w:contextualSpacing w:val="0"/>
        <w:rPr>
          <w:rFonts w:ascii="Arial" w:hAnsi="Arial" w:cs="Arial"/>
        </w:rPr>
      </w:pPr>
      <w:r w:rsidRPr="00721946">
        <w:rPr>
          <w:rFonts w:ascii="Arial" w:hAnsi="Arial" w:cs="Arial"/>
        </w:rPr>
        <w:t>Cooperate with the State’s reasonable requests in connection with efforts by the State to intervene and quash or modify the legal order, demand or request; and</w:t>
      </w:r>
    </w:p>
    <w:p w14:paraId="03BF855C" w14:textId="77777777" w:rsidR="00BE4096" w:rsidRPr="00721946" w:rsidRDefault="00BE4096" w:rsidP="00BE4096">
      <w:pPr>
        <w:pStyle w:val="ListParagraph"/>
        <w:numPr>
          <w:ilvl w:val="2"/>
          <w:numId w:val="7"/>
        </w:numPr>
        <w:spacing w:after="160" w:line="278" w:lineRule="auto"/>
        <w:ind w:left="1980"/>
        <w:contextualSpacing w:val="0"/>
        <w:rPr>
          <w:rFonts w:ascii="Arial" w:hAnsi="Arial" w:cs="Arial"/>
        </w:rPr>
      </w:pPr>
      <w:r>
        <w:rPr>
          <w:rFonts w:ascii="Arial" w:hAnsi="Arial" w:cs="Arial"/>
        </w:rPr>
        <w:t>U</w:t>
      </w:r>
      <w:r w:rsidRPr="00721946">
        <w:rPr>
          <w:rFonts w:ascii="Arial" w:hAnsi="Arial" w:cs="Arial"/>
        </w:rPr>
        <w:t>pon the State’s request, provide the State with a copy of its response.</w:t>
      </w:r>
    </w:p>
    <w:p w14:paraId="656BBB2A" w14:textId="77777777" w:rsidR="00BE4096" w:rsidRPr="00721946" w:rsidRDefault="00BE4096" w:rsidP="00BE4096">
      <w:pPr>
        <w:pStyle w:val="ListParagraph"/>
        <w:numPr>
          <w:ilvl w:val="1"/>
          <w:numId w:val="7"/>
        </w:numPr>
        <w:tabs>
          <w:tab w:val="left" w:pos="630"/>
        </w:tabs>
        <w:spacing w:after="160" w:line="278" w:lineRule="auto"/>
        <w:ind w:left="1260" w:hanging="720"/>
        <w:contextualSpacing w:val="0"/>
        <w:rPr>
          <w:rFonts w:ascii="Arial" w:hAnsi="Arial" w:cs="Arial"/>
        </w:rPr>
      </w:pPr>
      <w:r w:rsidRPr="00721946">
        <w:rPr>
          <w:rFonts w:ascii="Arial" w:hAnsi="Arial" w:cs="Arial"/>
        </w:rPr>
        <w:t xml:space="preserve">If the State receives a subpoena, warrant, or other legal order, demand (including request pursuant to the Georgia Open Records Act) or request seeking Sensitive State Data maintained by </w:t>
      </w:r>
      <w:r>
        <w:rPr>
          <w:rFonts w:ascii="Arial" w:hAnsi="Arial" w:cs="Arial"/>
        </w:rPr>
        <w:t>Contractor</w:t>
      </w:r>
      <w:r w:rsidRPr="00721946">
        <w:rPr>
          <w:rFonts w:ascii="Arial" w:hAnsi="Arial" w:cs="Arial"/>
        </w:rPr>
        <w:t xml:space="preserve">, the State shall promptly provide a copy to </w:t>
      </w:r>
      <w:r>
        <w:rPr>
          <w:rFonts w:ascii="Arial" w:hAnsi="Arial" w:cs="Arial"/>
        </w:rPr>
        <w:t>Contractor</w:t>
      </w:r>
      <w:r w:rsidRPr="00721946">
        <w:rPr>
          <w:rFonts w:ascii="Arial" w:hAnsi="Arial" w:cs="Arial"/>
        </w:rPr>
        <w:t xml:space="preserve">. </w:t>
      </w:r>
      <w:r>
        <w:rPr>
          <w:rFonts w:ascii="Arial" w:hAnsi="Arial" w:cs="Arial"/>
        </w:rPr>
        <w:t>Contractor</w:t>
      </w:r>
      <w:r w:rsidRPr="00721946">
        <w:rPr>
          <w:rFonts w:ascii="Arial" w:hAnsi="Arial" w:cs="Arial"/>
        </w:rPr>
        <w:t xml:space="preserve"> shall promptly supply the State with copies of data required for the State to respond and shall cooperate with the State’s reasonable requests in connection with its response.</w:t>
      </w:r>
    </w:p>
    <w:p w14:paraId="70F8228E" w14:textId="77777777" w:rsidR="00BE4096" w:rsidRPr="00721946" w:rsidRDefault="00BE4096" w:rsidP="00BE4096">
      <w:pPr>
        <w:pStyle w:val="ListParagraph"/>
        <w:numPr>
          <w:ilvl w:val="0"/>
          <w:numId w:val="1"/>
        </w:numPr>
        <w:spacing w:after="160" w:line="278" w:lineRule="auto"/>
        <w:ind w:left="540" w:hanging="540"/>
        <w:contextualSpacing w:val="0"/>
        <w:rPr>
          <w:rFonts w:ascii="Arial" w:hAnsi="Arial" w:cs="Arial"/>
          <w:b/>
          <w:bCs/>
        </w:rPr>
      </w:pPr>
      <w:r w:rsidRPr="00721946">
        <w:rPr>
          <w:rFonts w:ascii="Arial" w:hAnsi="Arial" w:cs="Arial"/>
          <w:b/>
          <w:bCs/>
        </w:rPr>
        <w:t>TERMINATION OBLIGATIONS</w:t>
      </w:r>
    </w:p>
    <w:p w14:paraId="7A529BCA" w14:textId="77777777" w:rsidR="00BE4096" w:rsidRPr="00721946" w:rsidRDefault="00BE4096" w:rsidP="00BE4096">
      <w:pPr>
        <w:pStyle w:val="ListParagraph"/>
        <w:numPr>
          <w:ilvl w:val="1"/>
          <w:numId w:val="8"/>
        </w:numPr>
        <w:spacing w:after="160" w:line="278" w:lineRule="auto"/>
        <w:ind w:left="1260" w:hanging="720"/>
        <w:contextualSpacing w:val="0"/>
        <w:rPr>
          <w:rFonts w:ascii="Arial" w:hAnsi="Arial" w:cs="Arial"/>
          <w:b/>
          <w:bCs/>
        </w:rPr>
      </w:pPr>
      <w:r w:rsidRPr="00721946">
        <w:rPr>
          <w:rFonts w:ascii="Arial" w:hAnsi="Arial" w:cs="Arial"/>
        </w:rPr>
        <w:t xml:space="preserve">Upon termination or expiration of the </w:t>
      </w:r>
      <w:r>
        <w:rPr>
          <w:rFonts w:ascii="Arial" w:hAnsi="Arial" w:cs="Arial"/>
        </w:rPr>
        <w:t>Contract</w:t>
      </w:r>
      <w:r w:rsidRPr="00721946">
        <w:rPr>
          <w:rFonts w:ascii="Arial" w:hAnsi="Arial" w:cs="Arial"/>
        </w:rPr>
        <w:t xml:space="preserve">, </w:t>
      </w:r>
      <w:r>
        <w:rPr>
          <w:rFonts w:ascii="Arial" w:hAnsi="Arial" w:cs="Arial"/>
        </w:rPr>
        <w:t>Contractor</w:t>
      </w:r>
      <w:r w:rsidRPr="00721946">
        <w:rPr>
          <w:rFonts w:ascii="Arial" w:hAnsi="Arial" w:cs="Arial"/>
        </w:rPr>
        <w:t xml:space="preserve"> shall implement In the State’s sole discretion, a secure, orderly (1) destruction of, or (2) return of Sensitive State Data in the format and at a time specified by State. Transfer to State or a third party designated by State shall occur without significant interruption of service and, to the extent technologically feasible, State shall have access to Sensitive State Data during the transfer. Following such transfer, </w:t>
      </w:r>
      <w:r>
        <w:rPr>
          <w:rFonts w:ascii="Arial" w:hAnsi="Arial" w:cs="Arial"/>
        </w:rPr>
        <w:t>Contractor</w:t>
      </w:r>
      <w:r w:rsidRPr="00721946">
        <w:rPr>
          <w:rFonts w:ascii="Arial" w:hAnsi="Arial" w:cs="Arial"/>
        </w:rPr>
        <w:t xml:space="preserve"> shall securely destroy Sensitive State Data in its possession or control. </w:t>
      </w:r>
      <w:r>
        <w:rPr>
          <w:rFonts w:ascii="Arial" w:hAnsi="Arial" w:cs="Arial"/>
        </w:rPr>
        <w:t>Contractor</w:t>
      </w:r>
      <w:r w:rsidRPr="00721946">
        <w:rPr>
          <w:rFonts w:ascii="Arial" w:hAnsi="Arial" w:cs="Arial"/>
        </w:rPr>
        <w:t xml:space="preserve"> shall not destroy any Sensitive State Data that has not been returned to State in the event of ongoing contract or other disputes between the parties or for so long as amounts remain payable by State.</w:t>
      </w:r>
    </w:p>
    <w:p w14:paraId="4E2F9E7A" w14:textId="77777777" w:rsidR="00BE4096" w:rsidRPr="00721946" w:rsidRDefault="00BE4096" w:rsidP="00BE4096">
      <w:pPr>
        <w:pStyle w:val="ListParagraph"/>
        <w:numPr>
          <w:ilvl w:val="1"/>
          <w:numId w:val="8"/>
        </w:numPr>
        <w:spacing w:after="160" w:line="278" w:lineRule="auto"/>
        <w:ind w:left="1260" w:hanging="720"/>
        <w:contextualSpacing w:val="0"/>
        <w:rPr>
          <w:rFonts w:ascii="Arial" w:hAnsi="Arial" w:cs="Arial"/>
          <w:b/>
          <w:bCs/>
        </w:rPr>
      </w:pPr>
      <w:r w:rsidRPr="00721946">
        <w:rPr>
          <w:rFonts w:ascii="Arial" w:hAnsi="Arial" w:cs="Arial"/>
        </w:rPr>
        <w:t xml:space="preserve">Destroyed Sensitive State Data shall be permanently deleted and shall not be recoverable in accordance with National Institute of Standards and Technology (NIST) Special Publication 800-88, Guidelines for Media Sanitization, using the purge method from Appendix A, Minimum Sanitization Recommendations, for the type of media being purged. Certificates of destruction shall be provided to the State. </w:t>
      </w:r>
      <w:r>
        <w:rPr>
          <w:rFonts w:ascii="Arial" w:hAnsi="Arial" w:cs="Arial"/>
        </w:rPr>
        <w:t>Contractor</w:t>
      </w:r>
      <w:r w:rsidRPr="00721946">
        <w:rPr>
          <w:rFonts w:ascii="Arial" w:hAnsi="Arial" w:cs="Arial"/>
        </w:rPr>
        <w:t xml:space="preserve"> may retain a copy of Sensitive State Data if necessary to comply with law or its applicable professional standards.</w:t>
      </w:r>
    </w:p>
    <w:p w14:paraId="13DF7F2C" w14:textId="77777777" w:rsidR="00BE4096" w:rsidRPr="0058138D" w:rsidRDefault="00BE4096" w:rsidP="00BE4096">
      <w:pPr>
        <w:numPr>
          <w:ilvl w:val="0"/>
          <w:numId w:val="1"/>
        </w:numPr>
        <w:spacing w:after="160" w:line="278" w:lineRule="auto"/>
        <w:ind w:left="540" w:hanging="540"/>
        <w:rPr>
          <w:rFonts w:ascii="Arial" w:hAnsi="Arial" w:cs="Arial"/>
          <w:b/>
          <w:bCs/>
        </w:rPr>
      </w:pPr>
      <w:r w:rsidRPr="0058138D">
        <w:rPr>
          <w:rFonts w:ascii="Arial" w:hAnsi="Arial" w:cs="Arial"/>
          <w:b/>
          <w:bCs/>
        </w:rPr>
        <w:t>COMPLIANCE</w:t>
      </w:r>
    </w:p>
    <w:p w14:paraId="001E6E17" w14:textId="77777777" w:rsidR="00BE4096" w:rsidRPr="00721946" w:rsidRDefault="00BE4096" w:rsidP="00BE4096">
      <w:pPr>
        <w:pStyle w:val="ListParagraph"/>
        <w:numPr>
          <w:ilvl w:val="1"/>
          <w:numId w:val="9"/>
        </w:numPr>
        <w:spacing w:after="160" w:line="278" w:lineRule="auto"/>
        <w:ind w:left="1260" w:hanging="720"/>
        <w:contextualSpacing w:val="0"/>
        <w:rPr>
          <w:rFonts w:ascii="Arial" w:hAnsi="Arial" w:cs="Arial"/>
          <w:b/>
          <w:bCs/>
        </w:rPr>
      </w:pPr>
      <w:r>
        <w:rPr>
          <w:rFonts w:ascii="Arial" w:hAnsi="Arial" w:cs="Arial"/>
        </w:rPr>
        <w:t>Contractor</w:t>
      </w:r>
      <w:r w:rsidRPr="00721946">
        <w:rPr>
          <w:rFonts w:ascii="Arial" w:hAnsi="Arial" w:cs="Arial"/>
        </w:rPr>
        <w:t xml:space="preserve"> shall comply with all applicable laws and industry standards in providing goods and services under this </w:t>
      </w:r>
      <w:r>
        <w:rPr>
          <w:rFonts w:ascii="Arial" w:hAnsi="Arial" w:cs="Arial"/>
        </w:rPr>
        <w:t>Contract</w:t>
      </w:r>
      <w:r w:rsidRPr="00721946">
        <w:rPr>
          <w:rFonts w:ascii="Arial" w:hAnsi="Arial" w:cs="Arial"/>
        </w:rPr>
        <w:t xml:space="preserve">. Any </w:t>
      </w:r>
      <w:r>
        <w:rPr>
          <w:rFonts w:ascii="Arial" w:hAnsi="Arial" w:cs="Arial"/>
        </w:rPr>
        <w:t>Contractor</w:t>
      </w:r>
      <w:r w:rsidRPr="00721946">
        <w:rPr>
          <w:rFonts w:ascii="Arial" w:hAnsi="Arial" w:cs="Arial"/>
        </w:rPr>
        <w:t xml:space="preserve"> personnel visiting the State’s facilities will comply with all applicable State policies regarding access to, use of, and conduct within such facilities. The State shall provide copies of such policies to </w:t>
      </w:r>
      <w:r>
        <w:rPr>
          <w:rFonts w:ascii="Arial" w:hAnsi="Arial" w:cs="Arial"/>
        </w:rPr>
        <w:t>Contractor</w:t>
      </w:r>
      <w:r w:rsidRPr="00721946">
        <w:rPr>
          <w:rFonts w:ascii="Arial" w:hAnsi="Arial" w:cs="Arial"/>
        </w:rPr>
        <w:t xml:space="preserve"> upon request.</w:t>
      </w:r>
    </w:p>
    <w:p w14:paraId="2A721730" w14:textId="77777777" w:rsidR="00BE4096" w:rsidRPr="00721946" w:rsidRDefault="00BE4096" w:rsidP="00BE4096">
      <w:pPr>
        <w:pStyle w:val="ListParagraph"/>
        <w:numPr>
          <w:ilvl w:val="1"/>
          <w:numId w:val="9"/>
        </w:numPr>
        <w:spacing w:after="160" w:line="278" w:lineRule="auto"/>
        <w:ind w:left="1260" w:hanging="720"/>
        <w:contextualSpacing w:val="0"/>
        <w:rPr>
          <w:rFonts w:ascii="Arial" w:hAnsi="Arial" w:cs="Arial"/>
          <w:b/>
          <w:bCs/>
        </w:rPr>
      </w:pPr>
      <w:r>
        <w:rPr>
          <w:rFonts w:ascii="Arial" w:hAnsi="Arial" w:cs="Arial"/>
        </w:rPr>
        <w:t>Contractor</w:t>
      </w:r>
      <w:r w:rsidRPr="00721946">
        <w:rPr>
          <w:rFonts w:ascii="Arial" w:hAnsi="Arial" w:cs="Arial"/>
        </w:rPr>
        <w:t xml:space="preserve"> warrants that in providing goods and services to the State it is fully compliant with relevant laws, regulations, and guidance that may be applicable to the goods and services such as: the Family Educational Rights and Privacy Act (FERPA), Health Insurance Portability and Accountability Act (HIPAA) and Health Information Technology for Economic and Clinical Health Act (HITECH), Gramm-Leach-Bliley Financial Modernization Act (GLB), Payment Card Industry Data Security Standards (PCI-DSS), </w:t>
      </w:r>
      <w:r w:rsidRPr="00721946">
        <w:rPr>
          <w:rFonts w:ascii="Arial" w:hAnsi="Arial" w:cs="Arial"/>
        </w:rPr>
        <w:lastRenderedPageBreak/>
        <w:t>Americans with Disabilities Act (ADA), Federal Export Administration Regulations, and Defense Federal Acquisitions Regulations.</w:t>
      </w:r>
    </w:p>
    <w:p w14:paraId="647C5874" w14:textId="77777777" w:rsidR="00BE4096" w:rsidRPr="00721946" w:rsidRDefault="00BE4096" w:rsidP="00BE4096">
      <w:pPr>
        <w:pStyle w:val="ListParagraph"/>
        <w:numPr>
          <w:ilvl w:val="1"/>
          <w:numId w:val="9"/>
        </w:numPr>
        <w:spacing w:after="160" w:line="278" w:lineRule="auto"/>
        <w:ind w:left="1260" w:hanging="720"/>
        <w:contextualSpacing w:val="0"/>
        <w:rPr>
          <w:rFonts w:ascii="Arial" w:hAnsi="Arial" w:cs="Arial"/>
          <w:b/>
          <w:bCs/>
        </w:rPr>
      </w:pPr>
      <w:r w:rsidRPr="00721946">
        <w:rPr>
          <w:rFonts w:ascii="Arial" w:hAnsi="Arial" w:cs="Arial"/>
        </w:rPr>
        <w:t xml:space="preserve">If the Payment Card Industry Data Security Standards (PCI-DSS) are applicable to the goods and services provided to the State, </w:t>
      </w:r>
      <w:r>
        <w:rPr>
          <w:rFonts w:ascii="Arial" w:hAnsi="Arial" w:cs="Arial"/>
        </w:rPr>
        <w:t>Contractor</w:t>
      </w:r>
      <w:r w:rsidRPr="00721946">
        <w:rPr>
          <w:rFonts w:ascii="Arial" w:hAnsi="Arial" w:cs="Arial"/>
        </w:rPr>
        <w:t xml:space="preserve"> shall, upon written request, furnish proof of compliance with PCI-DSS within 10 business days of the Request.</w:t>
      </w:r>
    </w:p>
    <w:p w14:paraId="74CF6A56" w14:textId="115A3D46" w:rsidR="00CC0074" w:rsidRDefault="00CC0074" w:rsidP="00BE4096"/>
    <w:sectPr w:rsidR="00CC0074" w:rsidSect="00BE4096">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94F82" w14:textId="77777777" w:rsidR="009F3B90" w:rsidRDefault="009F3B90" w:rsidP="0038384C">
      <w:r>
        <w:separator/>
      </w:r>
    </w:p>
  </w:endnote>
  <w:endnote w:type="continuationSeparator" w:id="0">
    <w:p w14:paraId="461F29CD" w14:textId="77777777" w:rsidR="009F3B90" w:rsidRDefault="009F3B90" w:rsidP="00383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ndara">
    <w:panose1 w:val="020E0502030303020204"/>
    <w:charset w:val="00"/>
    <w:family w:val="swiss"/>
    <w:pitch w:val="variable"/>
    <w:sig w:usb0="A00002EF" w:usb1="4000A44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9E0F0" w14:textId="7034383A" w:rsidR="0038384C" w:rsidRDefault="0038384C">
    <w:pPr>
      <w:pStyle w:val="Footer"/>
    </w:pPr>
    <w:r>
      <w:rPr>
        <w:noProof/>
      </w:rPr>
      <mc:AlternateContent>
        <mc:Choice Requires="wps">
          <w:drawing>
            <wp:anchor distT="0" distB="0" distL="114300" distR="114300" simplePos="0" relativeHeight="251663360" behindDoc="0" locked="0" layoutInCell="1" allowOverlap="1" wp14:anchorId="1E5DF81E" wp14:editId="160451DF">
              <wp:simplePos x="0" y="0"/>
              <wp:positionH relativeFrom="page">
                <wp:posOffset>-1270</wp:posOffset>
              </wp:positionH>
              <wp:positionV relativeFrom="paragraph">
                <wp:posOffset>215900</wp:posOffset>
              </wp:positionV>
              <wp:extent cx="7772400" cy="233936"/>
              <wp:effectExtent l="0" t="0" r="0" b="0"/>
              <wp:wrapNone/>
              <wp:docPr id="1416086992" name="Freeform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233936"/>
                      </a:xfrm>
                      <a:custGeom>
                        <a:avLst/>
                        <a:gdLst>
                          <a:gd name="T0" fmla="*/ 0 w 12240"/>
                          <a:gd name="T1" fmla="*/ 368 h 369"/>
                          <a:gd name="T2" fmla="*/ 12240 w 12240"/>
                          <a:gd name="T3" fmla="*/ 368 h 369"/>
                          <a:gd name="T4" fmla="*/ 12240 w 12240"/>
                          <a:gd name="T5" fmla="*/ 0 h 369"/>
                          <a:gd name="T6" fmla="*/ 0 w 12240"/>
                          <a:gd name="T7" fmla="*/ 0 h 369"/>
                          <a:gd name="T8" fmla="*/ 0 w 12240"/>
                          <a:gd name="T9" fmla="*/ 368 h 369"/>
                        </a:gdLst>
                        <a:ahLst/>
                        <a:cxnLst>
                          <a:cxn ang="0">
                            <a:pos x="T0" y="T1"/>
                          </a:cxn>
                          <a:cxn ang="0">
                            <a:pos x="T2" y="T3"/>
                          </a:cxn>
                          <a:cxn ang="0">
                            <a:pos x="T4" y="T5"/>
                          </a:cxn>
                          <a:cxn ang="0">
                            <a:pos x="T6" y="T7"/>
                          </a:cxn>
                          <a:cxn ang="0">
                            <a:pos x="T8" y="T9"/>
                          </a:cxn>
                        </a:cxnLst>
                        <a:rect l="0" t="0" r="r" b="b"/>
                        <a:pathLst>
                          <a:path w="12240" h="369">
                            <a:moveTo>
                              <a:pt x="0" y="368"/>
                            </a:moveTo>
                            <a:lnTo>
                              <a:pt x="12240" y="368"/>
                            </a:lnTo>
                            <a:lnTo>
                              <a:pt x="12240" y="0"/>
                            </a:lnTo>
                            <a:lnTo>
                              <a:pt x="0" y="0"/>
                            </a:lnTo>
                            <a:lnTo>
                              <a:pt x="0" y="368"/>
                            </a:lnTo>
                            <a:close/>
                          </a:path>
                        </a:pathLst>
                      </a:custGeom>
                      <a:solidFill>
                        <a:srgbClr val="F6E9C5"/>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164B9AE" w14:textId="69C7D315" w:rsidR="0038384C" w:rsidRPr="00075D4E" w:rsidRDefault="0038384C" w:rsidP="0038384C">
                          <w:pPr>
                            <w:pStyle w:val="Footer"/>
                            <w:tabs>
                              <w:tab w:val="center" w:pos="5760"/>
                              <w:tab w:val="right" w:pos="11520"/>
                            </w:tabs>
                            <w:ind w:left="360" w:right="438"/>
                            <w:rPr>
                              <w:b/>
                              <w:bCs/>
                            </w:rPr>
                          </w:pPr>
                          <w:r w:rsidRPr="00075D4E">
                            <w:rPr>
                              <w:rFonts w:ascii="Arial" w:hAnsi="Arial" w:cs="Arial"/>
                              <w:b/>
                              <w:bCs/>
                              <w:sz w:val="18"/>
                              <w:szCs w:val="18"/>
                            </w:rPr>
                            <w:t>Revised 0</w:t>
                          </w:r>
                          <w:r>
                            <w:rPr>
                              <w:rFonts w:ascii="Arial" w:hAnsi="Arial" w:cs="Arial"/>
                              <w:b/>
                              <w:bCs/>
                              <w:sz w:val="18"/>
                              <w:szCs w:val="18"/>
                            </w:rPr>
                            <w:t>7/01/2026</w:t>
                          </w:r>
                          <w:r>
                            <w:rPr>
                              <w:rFonts w:ascii="Arial" w:hAnsi="Arial" w:cs="Arial"/>
                              <w:b/>
                              <w:bCs/>
                              <w:sz w:val="18"/>
                              <w:szCs w:val="18"/>
                            </w:rPr>
                            <w:tab/>
                          </w:r>
                          <w:r>
                            <w:rPr>
                              <w:rFonts w:ascii="Arial" w:hAnsi="Arial" w:cs="Arial"/>
                              <w:b/>
                              <w:bCs/>
                              <w:sz w:val="18"/>
                              <w:szCs w:val="18"/>
                            </w:rPr>
                            <w:tab/>
                          </w:r>
                          <w:r w:rsidRPr="00075D4E">
                            <w:rPr>
                              <w:rFonts w:ascii="Arial" w:hAnsi="Arial" w:cs="Arial"/>
                              <w:b/>
                              <w:bCs/>
                              <w:sz w:val="18"/>
                              <w:szCs w:val="18"/>
                            </w:rPr>
                            <w:fldChar w:fldCharType="begin"/>
                          </w:r>
                          <w:r w:rsidRPr="00075D4E">
                            <w:rPr>
                              <w:rFonts w:ascii="Arial" w:hAnsi="Arial" w:cs="Arial"/>
                              <w:b/>
                              <w:bCs/>
                              <w:sz w:val="18"/>
                              <w:szCs w:val="18"/>
                            </w:rPr>
                            <w:instrText xml:space="preserve"> PAGE   \* MERGEFORMAT </w:instrText>
                          </w:r>
                          <w:r w:rsidRPr="00075D4E">
                            <w:rPr>
                              <w:rFonts w:ascii="Arial" w:hAnsi="Arial" w:cs="Arial"/>
                              <w:b/>
                              <w:bCs/>
                              <w:sz w:val="18"/>
                              <w:szCs w:val="18"/>
                            </w:rPr>
                            <w:fldChar w:fldCharType="separate"/>
                          </w:r>
                          <w:r w:rsidRPr="00075D4E">
                            <w:rPr>
                              <w:rFonts w:ascii="Arial" w:hAnsi="Arial" w:cs="Arial"/>
                              <w:b/>
                              <w:bCs/>
                              <w:noProof/>
                              <w:sz w:val="18"/>
                              <w:szCs w:val="18"/>
                            </w:rPr>
                            <w:t>1</w:t>
                          </w:r>
                          <w:r w:rsidRPr="00075D4E">
                            <w:rPr>
                              <w:rFonts w:ascii="Arial" w:hAnsi="Arial" w:cs="Arial"/>
                              <w:b/>
                              <w:bCs/>
                              <w:noProof/>
                              <w:sz w:val="18"/>
                              <w:szCs w:val="18"/>
                            </w:rPr>
                            <w:fldChar w:fldCharType="end"/>
                          </w:r>
                          <w:r>
                            <w:rPr>
                              <w:rFonts w:ascii="Arial" w:hAnsi="Arial" w:cs="Arial"/>
                              <w:b/>
                              <w:bCs/>
                              <w:noProof/>
                              <w:sz w:val="18"/>
                              <w:szCs w:val="18"/>
                            </w:rPr>
                            <w:tab/>
                          </w:r>
                          <w:r>
                            <w:rPr>
                              <w:rFonts w:ascii="Arial" w:hAnsi="Arial" w:cs="Arial"/>
                              <w:b/>
                              <w:bCs/>
                              <w:noProof/>
                              <w:sz w:val="18"/>
                              <w:szCs w:val="18"/>
                            </w:rPr>
                            <w:tab/>
                          </w:r>
                          <w:r w:rsidRPr="00075D4E">
                            <w:rPr>
                              <w:rFonts w:ascii="Arial" w:hAnsi="Arial" w:cs="Arial"/>
                              <w:b/>
                              <w:bCs/>
                              <w:sz w:val="18"/>
                              <w:szCs w:val="18"/>
                            </w:rPr>
                            <w:t>SPD-</w:t>
                          </w:r>
                          <w:r>
                            <w:rPr>
                              <w:rFonts w:ascii="Arial" w:hAnsi="Arial" w:cs="Arial"/>
                              <w:b/>
                              <w:bCs/>
                              <w:sz w:val="18"/>
                              <w:szCs w:val="18"/>
                            </w:rPr>
                            <w:t>SP02</w:t>
                          </w:r>
                          <w:r>
                            <w:rPr>
                              <w:rFonts w:ascii="Arial" w:hAnsi="Arial" w:cs="Arial"/>
                              <w:b/>
                              <w:bCs/>
                              <w:sz w:val="18"/>
                              <w:szCs w:val="18"/>
                            </w:rPr>
                            <w:t>2</w:t>
                          </w:r>
                        </w:p>
                      </w:txbxContent>
                    </wps:txbx>
                    <wps:bodyPr rot="0" vert="horz" wrap="square" lIns="91440" tIns="45720" rIns="91440" bIns="45720" anchor="t" anchorCtr="0" upright="1">
                      <a:noAutofit/>
                    </wps:bodyPr>
                  </wps:wsp>
                </a:graphicData>
              </a:graphic>
            </wp:anchor>
          </w:drawing>
        </mc:Choice>
        <mc:Fallback>
          <w:pict>
            <v:shape w14:anchorId="1E5DF81E" id="Freeform 135" o:spid="_x0000_s1027" style="position:absolute;margin-left:-.1pt;margin-top:17pt;width:612pt;height:18.4pt;z-index:251663360;visibility:visible;mso-wrap-style:square;mso-wrap-distance-left:9pt;mso-wrap-distance-top:0;mso-wrap-distance-right:9pt;mso-wrap-distance-bottom:0;mso-position-horizontal:absolute;mso-position-horizontal-relative:page;mso-position-vertical:absolute;mso-position-vertical-relative:text;v-text-anchor:top" coordsize="12240,36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" adj="-11796480,,5400" path="m,368r12240,l12240,,,,,368xe" fillcolor="#f6e9c5" stroked="f">
              <v:stroke joinstyle="round"/>
              <v:formulas/>
              <v:path arrowok="t" o:connecttype="custom" o:connectlocs="0,233302;7772400,233302;7772400,0;0,0;0,233302" o:connectangles="0,0,0,0,0" textboxrect="0,0,12240,369"/>
              <v:textbox>
                <w:txbxContent>
                  <w:p w14:paraId="6164B9AE" w14:textId="69C7D315" w:rsidR="0038384C" w:rsidRPr="00075D4E" w:rsidRDefault="0038384C" w:rsidP="0038384C">
                    <w:pPr>
                      <w:pStyle w:val="Footer"/>
                      <w:tabs>
                        <w:tab w:val="center" w:pos="5760"/>
                        <w:tab w:val="right" w:pos="11520"/>
                      </w:tabs>
                      <w:ind w:left="360" w:right="438"/>
                      <w:rPr>
                        <w:b/>
                        <w:bCs/>
                      </w:rPr>
                    </w:pPr>
                    <w:r w:rsidRPr="00075D4E">
                      <w:rPr>
                        <w:rFonts w:ascii="Arial" w:hAnsi="Arial" w:cs="Arial"/>
                        <w:b/>
                        <w:bCs/>
                        <w:sz w:val="18"/>
                        <w:szCs w:val="18"/>
                      </w:rPr>
                      <w:t>Revised 0</w:t>
                    </w:r>
                    <w:r>
                      <w:rPr>
                        <w:rFonts w:ascii="Arial" w:hAnsi="Arial" w:cs="Arial"/>
                        <w:b/>
                        <w:bCs/>
                        <w:sz w:val="18"/>
                        <w:szCs w:val="18"/>
                      </w:rPr>
                      <w:t>7/01/2026</w:t>
                    </w:r>
                    <w:r>
                      <w:rPr>
                        <w:rFonts w:ascii="Arial" w:hAnsi="Arial" w:cs="Arial"/>
                        <w:b/>
                        <w:bCs/>
                        <w:sz w:val="18"/>
                        <w:szCs w:val="18"/>
                      </w:rPr>
                      <w:tab/>
                    </w:r>
                    <w:r>
                      <w:rPr>
                        <w:rFonts w:ascii="Arial" w:hAnsi="Arial" w:cs="Arial"/>
                        <w:b/>
                        <w:bCs/>
                        <w:sz w:val="18"/>
                        <w:szCs w:val="18"/>
                      </w:rPr>
                      <w:tab/>
                    </w:r>
                    <w:r w:rsidRPr="00075D4E">
                      <w:rPr>
                        <w:rFonts w:ascii="Arial" w:hAnsi="Arial" w:cs="Arial"/>
                        <w:b/>
                        <w:bCs/>
                        <w:sz w:val="18"/>
                        <w:szCs w:val="18"/>
                      </w:rPr>
                      <w:fldChar w:fldCharType="begin"/>
                    </w:r>
                    <w:r w:rsidRPr="00075D4E">
                      <w:rPr>
                        <w:rFonts w:ascii="Arial" w:hAnsi="Arial" w:cs="Arial"/>
                        <w:b/>
                        <w:bCs/>
                        <w:sz w:val="18"/>
                        <w:szCs w:val="18"/>
                      </w:rPr>
                      <w:instrText xml:space="preserve"> PAGE   \* MERGEFORMAT </w:instrText>
                    </w:r>
                    <w:r w:rsidRPr="00075D4E">
                      <w:rPr>
                        <w:rFonts w:ascii="Arial" w:hAnsi="Arial" w:cs="Arial"/>
                        <w:b/>
                        <w:bCs/>
                        <w:sz w:val="18"/>
                        <w:szCs w:val="18"/>
                      </w:rPr>
                      <w:fldChar w:fldCharType="separate"/>
                    </w:r>
                    <w:r w:rsidRPr="00075D4E">
                      <w:rPr>
                        <w:rFonts w:ascii="Arial" w:hAnsi="Arial" w:cs="Arial"/>
                        <w:b/>
                        <w:bCs/>
                        <w:noProof/>
                        <w:sz w:val="18"/>
                        <w:szCs w:val="18"/>
                      </w:rPr>
                      <w:t>1</w:t>
                    </w:r>
                    <w:r w:rsidRPr="00075D4E">
                      <w:rPr>
                        <w:rFonts w:ascii="Arial" w:hAnsi="Arial" w:cs="Arial"/>
                        <w:b/>
                        <w:bCs/>
                        <w:noProof/>
                        <w:sz w:val="18"/>
                        <w:szCs w:val="18"/>
                      </w:rPr>
                      <w:fldChar w:fldCharType="end"/>
                    </w:r>
                    <w:r>
                      <w:rPr>
                        <w:rFonts w:ascii="Arial" w:hAnsi="Arial" w:cs="Arial"/>
                        <w:b/>
                        <w:bCs/>
                        <w:noProof/>
                        <w:sz w:val="18"/>
                        <w:szCs w:val="18"/>
                      </w:rPr>
                      <w:tab/>
                    </w:r>
                    <w:r>
                      <w:rPr>
                        <w:rFonts w:ascii="Arial" w:hAnsi="Arial" w:cs="Arial"/>
                        <w:b/>
                        <w:bCs/>
                        <w:noProof/>
                        <w:sz w:val="18"/>
                        <w:szCs w:val="18"/>
                      </w:rPr>
                      <w:tab/>
                    </w:r>
                    <w:r w:rsidRPr="00075D4E">
                      <w:rPr>
                        <w:rFonts w:ascii="Arial" w:hAnsi="Arial" w:cs="Arial"/>
                        <w:b/>
                        <w:bCs/>
                        <w:sz w:val="18"/>
                        <w:szCs w:val="18"/>
                      </w:rPr>
                      <w:t>SPD-</w:t>
                    </w:r>
                    <w:r>
                      <w:rPr>
                        <w:rFonts w:ascii="Arial" w:hAnsi="Arial" w:cs="Arial"/>
                        <w:b/>
                        <w:bCs/>
                        <w:sz w:val="18"/>
                        <w:szCs w:val="18"/>
                      </w:rPr>
                      <w:t>SP02</w:t>
                    </w:r>
                    <w:r>
                      <w:rPr>
                        <w:rFonts w:ascii="Arial" w:hAnsi="Arial" w:cs="Arial"/>
                        <w:b/>
                        <w:bCs/>
                        <w:sz w:val="18"/>
                        <w:szCs w:val="18"/>
                      </w:rPr>
                      <w:t>2</w:t>
                    </w:r>
                  </w:p>
                </w:txbxContent>
              </v:textbox>
              <w10:wrap anchorx="page"/>
            </v:shape>
          </w:pict>
        </mc:Fallback>
      </mc:AlternateContent>
    </w:r>
    <w:r w:rsidRPr="00075D4E">
      <w:rPr>
        <w:rFonts w:ascii="Arial" w:eastAsia="Yu Mincho" w:hAnsi="Arial" w:cs="Arial"/>
        <w:noProof/>
        <w:sz w:val="22"/>
        <w:szCs w:val="22"/>
      </w:rPr>
      <mc:AlternateContent>
        <mc:Choice Requires="wps">
          <w:drawing>
            <wp:anchor distT="0" distB="0" distL="114300" distR="114300" simplePos="0" relativeHeight="251661312" behindDoc="0" locked="0" layoutInCell="1" allowOverlap="1" wp14:anchorId="6605352E" wp14:editId="4C95DC18">
              <wp:simplePos x="0" y="0"/>
              <wp:positionH relativeFrom="page">
                <wp:align>left</wp:align>
              </wp:positionH>
              <wp:positionV relativeFrom="paragraph">
                <wp:posOffset>460005</wp:posOffset>
              </wp:positionV>
              <wp:extent cx="7772400" cy="159127"/>
              <wp:effectExtent l="0" t="0" r="0" b="0"/>
              <wp:wrapNone/>
              <wp:docPr id="321674917" name="Freeform 1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159127"/>
                      </a:xfrm>
                      <a:custGeom>
                        <a:avLst/>
                        <a:gdLst>
                          <a:gd name="T0" fmla="*/ 12240 w 12240"/>
                          <a:gd name="T1" fmla="*/ 0 h 251"/>
                          <a:gd name="T2" fmla="*/ 0 w 12240"/>
                          <a:gd name="T3" fmla="*/ 0 h 251"/>
                          <a:gd name="T4" fmla="*/ 0 w 12240"/>
                          <a:gd name="T5" fmla="*/ 250 h 251"/>
                          <a:gd name="T6" fmla="*/ 12240 w 12240"/>
                          <a:gd name="T7" fmla="*/ 250 h 251"/>
                          <a:gd name="T8" fmla="*/ 12240 w 12240"/>
                          <a:gd name="T9" fmla="*/ 0 h 251"/>
                        </a:gdLst>
                        <a:ahLst/>
                        <a:cxnLst>
                          <a:cxn ang="0">
                            <a:pos x="T0" y="T1"/>
                          </a:cxn>
                          <a:cxn ang="0">
                            <a:pos x="T2" y="T3"/>
                          </a:cxn>
                          <a:cxn ang="0">
                            <a:pos x="T4" y="T5"/>
                          </a:cxn>
                          <a:cxn ang="0">
                            <a:pos x="T6" y="T7"/>
                          </a:cxn>
                          <a:cxn ang="0">
                            <a:pos x="T8" y="T9"/>
                          </a:cxn>
                        </a:cxnLst>
                        <a:rect l="0" t="0" r="r" b="b"/>
                        <a:pathLst>
                          <a:path w="12240" h="251">
                            <a:moveTo>
                              <a:pt x="12240" y="0"/>
                            </a:moveTo>
                            <a:lnTo>
                              <a:pt x="0" y="0"/>
                            </a:lnTo>
                            <a:lnTo>
                              <a:pt x="0" y="250"/>
                            </a:lnTo>
                            <a:lnTo>
                              <a:pt x="12240" y="250"/>
                            </a:lnTo>
                            <a:lnTo>
                              <a:pt x="12240" y="0"/>
                            </a:lnTo>
                            <a:close/>
                          </a:path>
                        </a:pathLst>
                      </a:custGeom>
                      <a:solidFill>
                        <a:srgbClr val="1D1F3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720DBE56" id="Freeform 136" o:spid="_x0000_s1026" alt="&quot;&quot;" style="position:absolute;margin-left:0;margin-top:36.2pt;width:612pt;height:12.55pt;z-index:251661312;visibility:visible;mso-wrap-style:square;mso-wrap-distance-left:9pt;mso-wrap-distance-top:0;mso-wrap-distance-right:9pt;mso-wrap-distance-bottom:0;mso-position-horizontal:left;mso-position-horizontal-relative:page;mso-position-vertical:absolute;mso-position-vertical-relative:text;v-text-anchor:top" coordsize="12240,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" path="m12240,l,,,250r12240,l12240,xe" fillcolor="#1d1f39" stroked="f">
              <v:path arrowok="t" o:connecttype="custom" o:connectlocs="7772400,0;0,0;0,158493;7772400,158493;7772400,0" o:connectangles="0,0,0,0,0"/>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48C5F" w14:textId="77777777" w:rsidR="009F3B90" w:rsidRDefault="009F3B90" w:rsidP="0038384C">
      <w:r>
        <w:separator/>
      </w:r>
    </w:p>
  </w:footnote>
  <w:footnote w:type="continuationSeparator" w:id="0">
    <w:p w14:paraId="492C5EC3" w14:textId="77777777" w:rsidR="009F3B90" w:rsidRDefault="009F3B90" w:rsidP="003838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003D7"/>
    <w:multiLevelType w:val="hybridMultilevel"/>
    <w:tmpl w:val="6F2E905C"/>
    <w:lvl w:ilvl="0" w:tplc="C206D47A">
      <w:start w:val="1"/>
      <w:numFmt w:val="decimal"/>
      <w:lvlText w:val="%1."/>
      <w:lvlJc w:val="right"/>
      <w:pPr>
        <w:ind w:left="720" w:hanging="360"/>
      </w:pPr>
      <w:rPr>
        <w:rFonts w:ascii="Arial" w:eastAsia="Times New Roman" w:hAnsi="Arial" w:cs="Arial"/>
        <w:b/>
        <w:bCs/>
      </w:rPr>
    </w:lvl>
    <w:lvl w:ilvl="1" w:tplc="2BF0E0F8">
      <w:start w:val="1"/>
      <w:numFmt w:val="upperLetter"/>
      <w:lvlText w:val="%2."/>
      <w:lvlJc w:val="left"/>
      <w:pPr>
        <w:ind w:left="1440" w:hanging="360"/>
      </w:pPr>
      <w:rPr>
        <w:b/>
        <w:bCs/>
      </w:rPr>
    </w:lvl>
    <w:lvl w:ilvl="2" w:tplc="0409000F">
      <w:start w:val="1"/>
      <w:numFmt w:val="decimal"/>
      <w:lvlText w:val="%3."/>
      <w:lvlJc w:val="left"/>
      <w:pPr>
        <w:ind w:left="2340" w:hanging="360"/>
      </w:p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6EF21BC"/>
    <w:multiLevelType w:val="multilevel"/>
    <w:tmpl w:val="B686A87C"/>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3CE27729"/>
    <w:multiLevelType w:val="multilevel"/>
    <w:tmpl w:val="73FADA48"/>
    <w:lvl w:ilvl="0">
      <w:start w:val="3"/>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56B516AD"/>
    <w:multiLevelType w:val="multilevel"/>
    <w:tmpl w:val="CA4A0D0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8102E4F"/>
    <w:multiLevelType w:val="multilevel"/>
    <w:tmpl w:val="8F9A7E7A"/>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58CE1525"/>
    <w:multiLevelType w:val="multilevel"/>
    <w:tmpl w:val="8AE2A15A"/>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5D0A06EF"/>
    <w:multiLevelType w:val="multilevel"/>
    <w:tmpl w:val="9F423888"/>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b/>
        <w:bCs/>
      </w:rPr>
    </w:lvl>
    <w:lvl w:ilvl="2">
      <w:start w:val="1"/>
      <w:numFmt w:val="decimal"/>
      <w:lvlText w:val="%1.%2.%3"/>
      <w:lvlJc w:val="left"/>
      <w:pPr>
        <w:ind w:left="1800" w:hanging="720"/>
      </w:pPr>
      <w:rPr>
        <w:rFonts w:hint="default"/>
        <w:b/>
        <w:bCs/>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67562220"/>
    <w:multiLevelType w:val="multilevel"/>
    <w:tmpl w:val="56E60DC4"/>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7A3756EB"/>
    <w:multiLevelType w:val="multilevel"/>
    <w:tmpl w:val="94AE42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9402117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8140877">
    <w:abstractNumId w:val="6"/>
  </w:num>
  <w:num w:numId="3" w16cid:durableId="1893954780">
    <w:abstractNumId w:val="8"/>
  </w:num>
  <w:num w:numId="4" w16cid:durableId="1610040743">
    <w:abstractNumId w:val="2"/>
  </w:num>
  <w:num w:numId="5" w16cid:durableId="1040126898">
    <w:abstractNumId w:val="4"/>
  </w:num>
  <w:num w:numId="6" w16cid:durableId="1664552735">
    <w:abstractNumId w:val="7"/>
  </w:num>
  <w:num w:numId="7" w16cid:durableId="2093235434">
    <w:abstractNumId w:val="3"/>
  </w:num>
  <w:num w:numId="8" w16cid:durableId="1256862507">
    <w:abstractNumId w:val="5"/>
  </w:num>
  <w:num w:numId="9" w16cid:durableId="1468937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96"/>
    <w:rsid w:val="002A2949"/>
    <w:rsid w:val="0038384C"/>
    <w:rsid w:val="00663306"/>
    <w:rsid w:val="00663854"/>
    <w:rsid w:val="00684625"/>
    <w:rsid w:val="007A32CD"/>
    <w:rsid w:val="009F3B90"/>
    <w:rsid w:val="00BE4096"/>
    <w:rsid w:val="00CC00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5ECA55"/>
  <w15:chartTrackingRefBased/>
  <w15:docId w15:val="{5E2F6BFA-F20F-42D1-8B2E-0DAEC2CA7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096"/>
    <w:pPr>
      <w:spacing w:after="0" w:line="240" w:lineRule="auto"/>
    </w:pPr>
    <w:rPr>
      <w:rFonts w:ascii="Times New Roman" w:eastAsia="Times New Roman" w:hAnsi="Times New Roman" w:cs="Times New Roman"/>
      <w:kern w:val="0"/>
      <w:lang w:eastAsia="en-US"/>
      <w14:ligatures w14:val="none"/>
    </w:rPr>
  </w:style>
  <w:style w:type="paragraph" w:styleId="Heading1">
    <w:name w:val="heading 1"/>
    <w:basedOn w:val="Normal"/>
    <w:next w:val="Normal"/>
    <w:link w:val="Heading1Char"/>
    <w:uiPriority w:val="9"/>
    <w:qFormat/>
    <w:rsid w:val="00BE40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40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40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40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40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409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409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409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409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0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40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40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40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40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40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40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40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4096"/>
    <w:rPr>
      <w:rFonts w:eastAsiaTheme="majorEastAsia" w:cstheme="majorBidi"/>
      <w:color w:val="272727" w:themeColor="text1" w:themeTint="D8"/>
    </w:rPr>
  </w:style>
  <w:style w:type="paragraph" w:styleId="Title">
    <w:name w:val="Title"/>
    <w:basedOn w:val="Normal"/>
    <w:next w:val="Normal"/>
    <w:link w:val="TitleChar"/>
    <w:uiPriority w:val="10"/>
    <w:qFormat/>
    <w:rsid w:val="00BE40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40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40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40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4096"/>
    <w:pPr>
      <w:spacing w:before="160"/>
      <w:jc w:val="center"/>
    </w:pPr>
    <w:rPr>
      <w:i/>
      <w:iCs/>
      <w:color w:val="404040" w:themeColor="text1" w:themeTint="BF"/>
    </w:rPr>
  </w:style>
  <w:style w:type="character" w:customStyle="1" w:styleId="QuoteChar">
    <w:name w:val="Quote Char"/>
    <w:basedOn w:val="DefaultParagraphFont"/>
    <w:link w:val="Quote"/>
    <w:uiPriority w:val="29"/>
    <w:rsid w:val="00BE4096"/>
    <w:rPr>
      <w:i/>
      <w:iCs/>
      <w:color w:val="404040" w:themeColor="text1" w:themeTint="BF"/>
    </w:rPr>
  </w:style>
  <w:style w:type="paragraph" w:styleId="ListParagraph">
    <w:name w:val="List Paragraph"/>
    <w:basedOn w:val="Normal"/>
    <w:uiPriority w:val="34"/>
    <w:qFormat/>
    <w:rsid w:val="00BE4096"/>
    <w:pPr>
      <w:ind w:left="720"/>
      <w:contextualSpacing/>
    </w:pPr>
  </w:style>
  <w:style w:type="character" w:styleId="IntenseEmphasis">
    <w:name w:val="Intense Emphasis"/>
    <w:basedOn w:val="DefaultParagraphFont"/>
    <w:uiPriority w:val="21"/>
    <w:qFormat/>
    <w:rsid w:val="00BE4096"/>
    <w:rPr>
      <w:i/>
      <w:iCs/>
      <w:color w:val="0F4761" w:themeColor="accent1" w:themeShade="BF"/>
    </w:rPr>
  </w:style>
  <w:style w:type="paragraph" w:styleId="IntenseQuote">
    <w:name w:val="Intense Quote"/>
    <w:basedOn w:val="Normal"/>
    <w:next w:val="Normal"/>
    <w:link w:val="IntenseQuoteChar"/>
    <w:uiPriority w:val="30"/>
    <w:qFormat/>
    <w:rsid w:val="00BE40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4096"/>
    <w:rPr>
      <w:i/>
      <w:iCs/>
      <w:color w:val="0F4761" w:themeColor="accent1" w:themeShade="BF"/>
    </w:rPr>
  </w:style>
  <w:style w:type="character" w:styleId="IntenseReference">
    <w:name w:val="Intense Reference"/>
    <w:basedOn w:val="DefaultParagraphFont"/>
    <w:uiPriority w:val="32"/>
    <w:qFormat/>
    <w:rsid w:val="00BE4096"/>
    <w:rPr>
      <w:b/>
      <w:bCs/>
      <w:smallCaps/>
      <w:color w:val="0F4761" w:themeColor="accent1" w:themeShade="BF"/>
      <w:spacing w:val="5"/>
    </w:rPr>
  </w:style>
  <w:style w:type="table" w:customStyle="1" w:styleId="TableGrid1">
    <w:name w:val="Table Grid1"/>
    <w:basedOn w:val="TableNormal"/>
    <w:next w:val="TableGrid"/>
    <w:uiPriority w:val="39"/>
    <w:rsid w:val="00BE4096"/>
    <w:pPr>
      <w:spacing w:after="0" w:line="240" w:lineRule="auto"/>
    </w:pPr>
    <w:rPr>
      <w:rFonts w:ascii="Times New Roman" w:eastAsia="Batang"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FormTitle">
    <w:name w:val="F_Form Title"/>
    <w:basedOn w:val="Normal"/>
    <w:uiPriority w:val="1"/>
    <w:qFormat/>
    <w:rsid w:val="00BE4096"/>
    <w:pPr>
      <w:widowControl w:val="0"/>
      <w:autoSpaceDE w:val="0"/>
      <w:autoSpaceDN w:val="0"/>
      <w:adjustRightInd w:val="0"/>
      <w:jc w:val="center"/>
    </w:pPr>
    <w:rPr>
      <w:rFonts w:ascii="Candara" w:eastAsia="Yu Mincho" w:hAnsi="Candara" w:cs="Arial"/>
      <w:b/>
      <w:bCs/>
      <w:noProof/>
      <w:color w:val="FFFFFF"/>
      <w:sz w:val="39"/>
      <w:szCs w:val="39"/>
    </w:rPr>
  </w:style>
  <w:style w:type="table" w:styleId="TableGrid">
    <w:name w:val="Table Grid"/>
    <w:basedOn w:val="TableNormal"/>
    <w:uiPriority w:val="39"/>
    <w:rsid w:val="00BE40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8384C"/>
    <w:pPr>
      <w:tabs>
        <w:tab w:val="center" w:pos="4680"/>
        <w:tab w:val="right" w:pos="9360"/>
      </w:tabs>
    </w:pPr>
  </w:style>
  <w:style w:type="character" w:customStyle="1" w:styleId="HeaderChar">
    <w:name w:val="Header Char"/>
    <w:basedOn w:val="DefaultParagraphFont"/>
    <w:link w:val="Header"/>
    <w:uiPriority w:val="99"/>
    <w:rsid w:val="0038384C"/>
    <w:rPr>
      <w:rFonts w:ascii="Times New Roman" w:eastAsia="Times New Roman" w:hAnsi="Times New Roman" w:cs="Times New Roman"/>
      <w:kern w:val="0"/>
      <w:lang w:eastAsia="en-US"/>
      <w14:ligatures w14:val="none"/>
    </w:rPr>
  </w:style>
  <w:style w:type="paragraph" w:styleId="Footer">
    <w:name w:val="footer"/>
    <w:basedOn w:val="Normal"/>
    <w:link w:val="FooterChar"/>
    <w:uiPriority w:val="99"/>
    <w:unhideWhenUsed/>
    <w:rsid w:val="0038384C"/>
    <w:pPr>
      <w:tabs>
        <w:tab w:val="center" w:pos="4680"/>
        <w:tab w:val="right" w:pos="9360"/>
      </w:tabs>
    </w:pPr>
  </w:style>
  <w:style w:type="character" w:customStyle="1" w:styleId="FooterChar">
    <w:name w:val="Footer Char"/>
    <w:basedOn w:val="DefaultParagraphFont"/>
    <w:link w:val="Footer"/>
    <w:uiPriority w:val="99"/>
    <w:rsid w:val="0038384C"/>
    <w:rPr>
      <w:rFonts w:ascii="Times New Roman" w:eastAsia="Times New Roman" w:hAnsi="Times New Roman" w:cs="Times New Roman"/>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7</Pages>
  <Words>2603</Words>
  <Characters>14842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State of Georgia</Company>
  <LinksUpToDate>false</LinksUpToDate>
  <CharactersWithSpaces>17411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Chapman, Mary</dc:creator>
  <cp:keywords/>
  <dc:description/>
  <cp:lastModifiedBy>Chapman, Mary</cp:lastModifiedBy>
  <cp:revision>2</cp:revision>
  <dcterms:created xsi:type="dcterms:W3CDTF">2026-06-29T17:45:00Z</dcterms:created>
  <dcterms:modified xsi:type="dcterms:W3CDTF">2026-06-29T19:00:00Z</dcterms:modified>
</cp:coreProperties>
</file>