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4471A5" w14:paraId="193848C0" w14:textId="77777777" w:rsidTr="004471A5">
        <w:trPr>
          <w:trHeight w:val="378"/>
        </w:trPr>
        <w:tc>
          <w:tcPr>
            <w:tcW w:w="11070" w:type="dxa"/>
            <w:shd w:val="clear" w:color="auto" w:fill="F6E7C0"/>
          </w:tcPr>
          <w:p w14:paraId="60FB0694" w14:textId="77777777" w:rsidR="004471A5" w:rsidRPr="00511B0F" w:rsidRDefault="004471A5" w:rsidP="00382393">
            <w:pPr>
              <w:rPr>
                <w:rFonts w:ascii="Arial" w:hAnsi="Arial" w:cs="Arial"/>
                <w:sz w:val="10"/>
                <w:szCs w:val="10"/>
              </w:rPr>
            </w:pPr>
            <w:bookmarkStart w:id="0" w:name="_Hlk204612487"/>
          </w:p>
        </w:tc>
      </w:tr>
      <w:tr w:rsidR="004471A5" w14:paraId="37773193" w14:textId="77777777" w:rsidTr="004471A5">
        <w:trPr>
          <w:trHeight w:val="49"/>
        </w:trPr>
        <w:tc>
          <w:tcPr>
            <w:tcW w:w="11070" w:type="dxa"/>
            <w:shd w:val="clear" w:color="auto" w:fill="B48819"/>
          </w:tcPr>
          <w:p w14:paraId="1F4BBBFA" w14:textId="77777777" w:rsidR="004471A5" w:rsidRPr="00364535" w:rsidRDefault="004471A5" w:rsidP="00382393">
            <w:pPr>
              <w:rPr>
                <w:rFonts w:ascii="Arial" w:hAnsi="Arial" w:cs="Arial"/>
                <w:sz w:val="6"/>
                <w:szCs w:val="6"/>
              </w:rPr>
            </w:pPr>
            <w:r w:rsidRPr="00F82469">
              <w:rPr>
                <w:noProof/>
              </w:rPr>
              <w:drawing>
                <wp:anchor distT="0" distB="0" distL="114300" distR="114300" simplePos="0" relativeHeight="251659264" behindDoc="0" locked="0" layoutInCell="1" allowOverlap="1" wp14:anchorId="6704ADE6" wp14:editId="399036D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71A5" w14:paraId="3CD68A1F" w14:textId="77777777" w:rsidTr="004471A5">
        <w:tc>
          <w:tcPr>
            <w:tcW w:w="11070" w:type="dxa"/>
          </w:tcPr>
          <w:p w14:paraId="72B5A060" w14:textId="77777777" w:rsidR="004471A5" w:rsidRPr="00511B0F" w:rsidRDefault="004471A5" w:rsidP="00382393">
            <w:pPr>
              <w:rPr>
                <w:rFonts w:ascii="Arial" w:hAnsi="Arial" w:cs="Arial"/>
                <w:sz w:val="10"/>
                <w:szCs w:val="10"/>
              </w:rPr>
            </w:pPr>
          </w:p>
        </w:tc>
      </w:tr>
      <w:tr w:rsidR="004471A5" w14:paraId="26D0FD2C" w14:textId="77777777" w:rsidTr="004471A5">
        <w:trPr>
          <w:trHeight w:val="630"/>
        </w:trPr>
        <w:tc>
          <w:tcPr>
            <w:tcW w:w="11070" w:type="dxa"/>
            <w:shd w:val="clear" w:color="auto" w:fill="1D203A"/>
          </w:tcPr>
          <w:p w14:paraId="0D7D9BDC" w14:textId="77777777" w:rsidR="004471A5" w:rsidRPr="00511B0F" w:rsidRDefault="004471A5" w:rsidP="00382393">
            <w:pPr>
              <w:rPr>
                <w:rFonts w:ascii="Arial" w:hAnsi="Arial" w:cs="Arial"/>
                <w:sz w:val="10"/>
                <w:szCs w:val="10"/>
              </w:rPr>
            </w:pPr>
          </w:p>
        </w:tc>
      </w:tr>
      <w:tr w:rsidR="004471A5" w14:paraId="590DC2EA" w14:textId="77777777" w:rsidTr="004471A5">
        <w:tc>
          <w:tcPr>
            <w:tcW w:w="11070" w:type="dxa"/>
          </w:tcPr>
          <w:p w14:paraId="3A8D47F1" w14:textId="77777777" w:rsidR="004471A5" w:rsidRPr="00511B0F" w:rsidRDefault="004471A5" w:rsidP="00382393">
            <w:pPr>
              <w:rPr>
                <w:rFonts w:ascii="Arial" w:hAnsi="Arial" w:cs="Arial"/>
                <w:sz w:val="10"/>
                <w:szCs w:val="10"/>
              </w:rPr>
            </w:pPr>
          </w:p>
        </w:tc>
      </w:tr>
      <w:tr w:rsidR="004471A5" w14:paraId="6AAEE69F" w14:textId="77777777" w:rsidTr="004471A5">
        <w:tc>
          <w:tcPr>
            <w:tcW w:w="11070" w:type="dxa"/>
            <w:shd w:val="clear" w:color="auto" w:fill="B48819"/>
          </w:tcPr>
          <w:p w14:paraId="7FFB6717" w14:textId="77777777" w:rsidR="004471A5" w:rsidRPr="00364535" w:rsidRDefault="004471A5" w:rsidP="00382393">
            <w:pPr>
              <w:rPr>
                <w:rFonts w:ascii="Arial" w:hAnsi="Arial" w:cs="Arial"/>
                <w:sz w:val="6"/>
                <w:szCs w:val="6"/>
              </w:rPr>
            </w:pPr>
          </w:p>
        </w:tc>
      </w:tr>
      <w:tr w:rsidR="004471A5" w14:paraId="6AAC21EB" w14:textId="77777777" w:rsidTr="004471A5">
        <w:tc>
          <w:tcPr>
            <w:tcW w:w="11070" w:type="dxa"/>
          </w:tcPr>
          <w:p w14:paraId="52D258F9" w14:textId="77777777" w:rsidR="004471A5" w:rsidRPr="00511B0F" w:rsidRDefault="004471A5" w:rsidP="00382393">
            <w:pPr>
              <w:rPr>
                <w:rFonts w:ascii="Arial" w:hAnsi="Arial" w:cs="Arial"/>
                <w:sz w:val="10"/>
                <w:szCs w:val="10"/>
              </w:rPr>
            </w:pPr>
          </w:p>
        </w:tc>
      </w:tr>
      <w:tr w:rsidR="004471A5" w14:paraId="2A7BB613" w14:textId="77777777" w:rsidTr="004471A5">
        <w:tc>
          <w:tcPr>
            <w:tcW w:w="11070" w:type="dxa"/>
          </w:tcPr>
          <w:p w14:paraId="689E2FED" w14:textId="77777777" w:rsidR="004471A5" w:rsidRPr="006A2797" w:rsidRDefault="004471A5" w:rsidP="00382393">
            <w:pPr>
              <w:pStyle w:val="FSubtitle"/>
              <w:framePr w:hSpace="0" w:wrap="auto" w:vAnchor="margin" w:hAnchor="text" w:xAlign="left" w:yAlign="inline"/>
              <w:suppressOverlap w:val="0"/>
              <w:rPr>
                <w:rFonts w:ascii="Arial" w:hAnsi="Arial"/>
              </w:rPr>
            </w:pPr>
            <w:r w:rsidRPr="008F2DD1">
              <w:rPr>
                <w:rFonts w:eastAsia="Yu Mincho"/>
                <w:b w:val="0"/>
                <w:bCs w:val="0"/>
                <w:noProof/>
                <w:sz w:val="38"/>
                <w:szCs w:val="38"/>
              </w:rPr>
              <mc:AlternateContent>
                <mc:Choice Requires="wps">
                  <w:drawing>
                    <wp:anchor distT="0" distB="0" distL="114300" distR="114300" simplePos="0" relativeHeight="251660288" behindDoc="0" locked="0" layoutInCell="1" allowOverlap="1" wp14:anchorId="6C9460E5" wp14:editId="13561107">
                      <wp:simplePos x="0" y="0"/>
                      <wp:positionH relativeFrom="column">
                        <wp:posOffset>1409700</wp:posOffset>
                      </wp:positionH>
                      <wp:positionV relativeFrom="page">
                        <wp:posOffset>-586105</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019A79C8" w14:textId="2D0B0550" w:rsidR="004471A5" w:rsidRPr="00CE08B4" w:rsidRDefault="004471A5" w:rsidP="004471A5">
                                  <w:pPr>
                                    <w:pStyle w:val="FFormTitle"/>
                                    <w:rPr>
                                      <w:rFonts w:ascii="Arial" w:hAnsi="Arial"/>
                                      <w:sz w:val="42"/>
                                      <w:szCs w:val="42"/>
                                    </w:rPr>
                                  </w:pPr>
                                  <w:r>
                                    <w:rPr>
                                      <w:rFonts w:ascii="Arial" w:hAnsi="Arial"/>
                                      <w:sz w:val="42"/>
                                      <w:szCs w:val="42"/>
                                    </w:rPr>
                                    <w:t>Contracting with State Entities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460E5" id="_x0000_t202" coordsize="21600,21600" o:spt="202" path="m,l,21600r21600,l21600,xe">
                      <v:stroke joinstyle="miter"/>
                      <v:path gradientshapeok="t" o:connecttype="rect"/>
                    </v:shapetype>
                    <v:shape id="Text Box 137203298" o:spid="_x0000_s1026" type="#_x0000_t202" style="position:absolute;left:0;text-align:left;margin-left:111pt;margin-top:-46.15pt;width:327.1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" filled="f" stroked="f" strokeweight=".5pt">
                      <v:textbox>
                        <w:txbxContent>
                          <w:p w14:paraId="019A79C8" w14:textId="2D0B0550" w:rsidR="004471A5" w:rsidRPr="00CE08B4" w:rsidRDefault="004471A5" w:rsidP="004471A5">
                            <w:pPr>
                              <w:pStyle w:val="FFormTitle"/>
                              <w:rPr>
                                <w:rFonts w:ascii="Arial" w:hAnsi="Arial"/>
                                <w:sz w:val="42"/>
                                <w:szCs w:val="42"/>
                              </w:rPr>
                            </w:pPr>
                            <w:r>
                              <w:rPr>
                                <w:rFonts w:ascii="Arial" w:hAnsi="Arial"/>
                                <w:sz w:val="42"/>
                                <w:szCs w:val="42"/>
                              </w:rPr>
                              <w:t>Contracting with State Entities</w:t>
                            </w:r>
                          </w:p>
                        </w:txbxContent>
                      </v:textbox>
                      <w10:wrap anchory="page"/>
                    </v:shape>
                  </w:pict>
                </mc:Fallback>
              </mc:AlternateContent>
            </w:r>
            <w:r w:rsidRPr="006A2797">
              <w:rPr>
                <w:rFonts w:ascii="Arial" w:hAnsi="Arial"/>
              </w:rPr>
              <w:t>State of Georgia Department of Administrative Services</w:t>
            </w:r>
          </w:p>
          <w:p w14:paraId="17A18518" w14:textId="77777777" w:rsidR="004471A5" w:rsidRPr="009417B0" w:rsidRDefault="004471A5" w:rsidP="00382393">
            <w:pPr>
              <w:jc w:val="center"/>
              <w:rPr>
                <w:rFonts w:ascii="Arial" w:hAnsi="Arial" w:cs="Arial"/>
                <w:sz w:val="10"/>
                <w:szCs w:val="10"/>
              </w:rPr>
            </w:pPr>
          </w:p>
        </w:tc>
      </w:tr>
      <w:bookmarkEnd w:id="0"/>
    </w:tbl>
    <w:p w14:paraId="210EEA94" w14:textId="77777777" w:rsidR="004471A5" w:rsidRDefault="004471A5" w:rsidP="00E42628">
      <w:pPr>
        <w:jc w:val="both"/>
      </w:pPr>
    </w:p>
    <w:p w14:paraId="648FFB1E" w14:textId="1D675AB1" w:rsidR="00E42628" w:rsidRPr="004471A5" w:rsidRDefault="00E42628" w:rsidP="004471A5">
      <w:pPr>
        <w:spacing w:after="0" w:line="240" w:lineRule="auto"/>
        <w:jc w:val="both"/>
        <w:rPr>
          <w:rFonts w:ascii="Arial" w:hAnsi="Arial" w:cs="Arial"/>
          <w:sz w:val="24"/>
          <w:szCs w:val="24"/>
        </w:rPr>
      </w:pPr>
      <w:r w:rsidRPr="004471A5">
        <w:rPr>
          <w:rFonts w:ascii="Arial" w:hAnsi="Arial" w:cs="Arial"/>
          <w:sz w:val="24"/>
          <w:szCs w:val="24"/>
        </w:rPr>
        <w:t xml:space="preserve">The following provisions are applicable to State offices, agencies, departments boards, bureaus, commissions, institutions, agencies, boards, commissions, and other entities of the state procuring goods and/or services pursuant to O.C.G.A. § 50-5-50 et seq. (“State Entities”).  </w:t>
      </w:r>
    </w:p>
    <w:p w14:paraId="7CAD8529" w14:textId="77777777" w:rsidR="004471A5" w:rsidRDefault="004471A5" w:rsidP="004471A5">
      <w:pPr>
        <w:spacing w:after="0" w:line="240" w:lineRule="auto"/>
        <w:jc w:val="both"/>
        <w:rPr>
          <w:rFonts w:ascii="Arial" w:hAnsi="Arial" w:cs="Arial"/>
          <w:sz w:val="24"/>
          <w:szCs w:val="24"/>
        </w:rPr>
      </w:pPr>
    </w:p>
    <w:p w14:paraId="0C0076E5" w14:textId="032AEC3F" w:rsidR="00E42628" w:rsidRDefault="00E42628" w:rsidP="004471A5">
      <w:pPr>
        <w:spacing w:after="0" w:line="240" w:lineRule="auto"/>
        <w:jc w:val="both"/>
        <w:rPr>
          <w:rFonts w:ascii="Arial" w:hAnsi="Arial" w:cs="Arial"/>
          <w:sz w:val="24"/>
          <w:szCs w:val="24"/>
        </w:rPr>
      </w:pPr>
      <w:r w:rsidRPr="004471A5">
        <w:rPr>
          <w:rFonts w:ascii="Arial" w:hAnsi="Arial" w:cs="Arial"/>
          <w:sz w:val="24"/>
          <w:szCs w:val="24"/>
        </w:rPr>
        <w:t xml:space="preserve">Please be advised that State Entities are unable to agree to certain revisions to the standard state contract. Revisions that would provide an unfair competitive advantage, including but not limited to those that materially change the terms or the requirements of the solicitation, will be rejected by the State. Please note that this guidance is not all-inclusive, and State Entities reserve the right to negotiate all terms and conditions. If a supplier and a State Entity are unable to come to mutually agreeable terms, the supplier will not be awarded a contract.  </w:t>
      </w:r>
    </w:p>
    <w:p w14:paraId="7C8CC009" w14:textId="77777777" w:rsidR="004471A5" w:rsidRPr="004471A5" w:rsidRDefault="004471A5" w:rsidP="004471A5">
      <w:pPr>
        <w:spacing w:after="0" w:line="240" w:lineRule="auto"/>
        <w:jc w:val="both"/>
        <w:rPr>
          <w:rFonts w:ascii="Arial" w:hAnsi="Arial" w:cs="Arial"/>
          <w:sz w:val="24"/>
          <w:szCs w:val="24"/>
        </w:rPr>
      </w:pPr>
    </w:p>
    <w:p w14:paraId="08DDD69C" w14:textId="3EB002B2" w:rsidR="00E42628" w:rsidRPr="004471A5" w:rsidRDefault="00E42628" w:rsidP="004471A5">
      <w:pPr>
        <w:pStyle w:val="Heading3"/>
        <w:spacing w:before="0"/>
        <w:ind w:left="630" w:hanging="630"/>
        <w:jc w:val="both"/>
        <w:rPr>
          <w:rFonts w:ascii="Arial" w:hAnsi="Arial" w:cs="Arial"/>
          <w:sz w:val="24"/>
        </w:rPr>
      </w:pPr>
      <w:bookmarkStart w:id="1" w:name="_Hlk50024120"/>
      <w:r w:rsidRPr="004471A5">
        <w:rPr>
          <w:rFonts w:ascii="Arial" w:hAnsi="Arial" w:cs="Arial"/>
          <w:sz w:val="24"/>
        </w:rPr>
        <w:t>Indemnification and/or hold harmless.</w:t>
      </w:r>
      <w:r w:rsidR="004471A5">
        <w:rPr>
          <w:rFonts w:ascii="Arial" w:hAnsi="Arial" w:cs="Arial"/>
          <w:sz w:val="24"/>
        </w:rPr>
        <w:t xml:space="preserve"> </w:t>
      </w:r>
    </w:p>
    <w:p w14:paraId="417ED79C" w14:textId="1934CFAB" w:rsidR="00E42628" w:rsidRDefault="00E42628" w:rsidP="004471A5">
      <w:pPr>
        <w:spacing w:after="0" w:line="240" w:lineRule="auto"/>
        <w:ind w:left="630"/>
        <w:jc w:val="both"/>
        <w:rPr>
          <w:rFonts w:ascii="Arial" w:hAnsi="Arial" w:cs="Arial"/>
          <w:sz w:val="24"/>
          <w:szCs w:val="24"/>
        </w:rPr>
      </w:pPr>
      <w:r w:rsidRPr="004471A5">
        <w:rPr>
          <w:rFonts w:ascii="Arial" w:hAnsi="Arial" w:cs="Arial"/>
          <w:sz w:val="24"/>
          <w:szCs w:val="24"/>
        </w:rPr>
        <w:t xml:space="preserve">As provided under O.C.G.A § 50-5-64.1(a)(1)(A), contracts shall not contain a term that requires </w:t>
      </w:r>
      <w:r w:rsidR="00C145E3" w:rsidRPr="004471A5">
        <w:rPr>
          <w:rFonts w:ascii="Arial" w:hAnsi="Arial" w:cs="Arial"/>
          <w:sz w:val="24"/>
          <w:szCs w:val="24"/>
        </w:rPr>
        <w:t>State Entities</w:t>
      </w:r>
      <w:r w:rsidRPr="004471A5">
        <w:rPr>
          <w:rFonts w:ascii="Arial" w:hAnsi="Arial" w:cs="Arial"/>
          <w:sz w:val="24"/>
          <w:szCs w:val="24"/>
        </w:rPr>
        <w:t xml:space="preserve"> to defend, indemnify, or hold harmless another person (</w:t>
      </w:r>
      <w:r w:rsidR="00E30F0C" w:rsidRPr="004471A5">
        <w:rPr>
          <w:rFonts w:ascii="Arial" w:hAnsi="Arial" w:cs="Arial"/>
          <w:sz w:val="24"/>
          <w:szCs w:val="24"/>
        </w:rPr>
        <w:t>the term</w:t>
      </w:r>
      <w:r w:rsidRPr="004471A5">
        <w:rPr>
          <w:rFonts w:ascii="Arial" w:hAnsi="Arial" w:cs="Arial"/>
          <w:sz w:val="24"/>
          <w:szCs w:val="24"/>
        </w:rPr>
        <w:t xml:space="preserve"> “person” also includes “corporations,” </w:t>
      </w:r>
      <w:r w:rsidRPr="004471A5">
        <w:rPr>
          <w:rFonts w:ascii="Arial" w:hAnsi="Arial" w:cs="Arial"/>
          <w:i/>
          <w:iCs/>
          <w:sz w:val="24"/>
          <w:szCs w:val="24"/>
        </w:rPr>
        <w:t>see</w:t>
      </w:r>
      <w:r w:rsidRPr="004471A5">
        <w:rPr>
          <w:rFonts w:ascii="Arial" w:hAnsi="Arial" w:cs="Arial"/>
          <w:sz w:val="24"/>
          <w:szCs w:val="24"/>
        </w:rPr>
        <w:t xml:space="preserve"> O.C.G.A. § 1-3-3 and O.C.G.A. § 1-2-1). Any such provision in a contract shall be deemed </w:t>
      </w:r>
      <w:r w:rsidR="00E30F0C" w:rsidRPr="004471A5">
        <w:rPr>
          <w:rFonts w:ascii="Arial" w:hAnsi="Arial" w:cs="Arial"/>
          <w:sz w:val="24"/>
          <w:szCs w:val="24"/>
        </w:rPr>
        <w:t>void,</w:t>
      </w:r>
      <w:r w:rsidRPr="004471A5">
        <w:rPr>
          <w:rFonts w:ascii="Arial" w:hAnsi="Arial" w:cs="Arial"/>
          <w:sz w:val="24"/>
          <w:szCs w:val="24"/>
        </w:rPr>
        <w:t xml:space="preserve"> and the contract shall be otherwise enforceable as if it did not contain such term. Moreover, State Entities are prohibited by the Georgia Constitution from agreeing to any such provision as they have been determined to violate the prohibition against gratuities,</w:t>
      </w:r>
      <w:r w:rsidRPr="004471A5" w:rsidDel="00EA2BAD">
        <w:rPr>
          <w:rFonts w:ascii="Arial" w:hAnsi="Arial" w:cs="Arial"/>
          <w:sz w:val="24"/>
          <w:szCs w:val="24"/>
        </w:rPr>
        <w:t xml:space="preserve"> </w:t>
      </w:r>
      <w:r w:rsidRPr="004471A5">
        <w:rPr>
          <w:rFonts w:ascii="Arial" w:hAnsi="Arial" w:cs="Arial"/>
          <w:sz w:val="24"/>
          <w:szCs w:val="24"/>
        </w:rPr>
        <w:t>pledges of the State’s credit, and an unauthorized waiver of sovereign immunity. (Ga. Const. Art. VII, § IV, ¶ VIII; Ga. Const. Art. III. Sec. VI, Par. VI; 1980 Op. Att'y Gen. 80-67; 1974 Op. Att'y Gen. 74-115; 1980 Op. Att'y Gen. 80-67.)</w:t>
      </w:r>
    </w:p>
    <w:p w14:paraId="2DE5A92C" w14:textId="77777777" w:rsidR="004471A5" w:rsidRPr="004471A5" w:rsidRDefault="004471A5" w:rsidP="004471A5">
      <w:pPr>
        <w:spacing w:after="0" w:line="240" w:lineRule="auto"/>
        <w:ind w:left="360"/>
        <w:jc w:val="both"/>
        <w:rPr>
          <w:rFonts w:ascii="Arial" w:hAnsi="Arial" w:cs="Arial"/>
          <w:sz w:val="24"/>
          <w:szCs w:val="24"/>
        </w:rPr>
      </w:pPr>
    </w:p>
    <w:bookmarkEnd w:id="1"/>
    <w:p w14:paraId="3A22480D" w14:textId="33E1FBFC" w:rsidR="00E42628" w:rsidRPr="004471A5" w:rsidRDefault="00E42628" w:rsidP="004471A5">
      <w:pPr>
        <w:pStyle w:val="Heading3"/>
        <w:spacing w:before="0"/>
        <w:ind w:left="720" w:hanging="720"/>
        <w:rPr>
          <w:rFonts w:ascii="Arial" w:hAnsi="Arial" w:cs="Arial"/>
          <w:sz w:val="24"/>
        </w:rPr>
      </w:pPr>
      <w:r w:rsidRPr="004471A5">
        <w:rPr>
          <w:rFonts w:ascii="Arial" w:hAnsi="Arial" w:cs="Arial"/>
          <w:sz w:val="24"/>
        </w:rPr>
        <w:t>The Georgia Attorney General Represents the State of Georgia.</w:t>
      </w:r>
    </w:p>
    <w:p w14:paraId="5032FF80" w14:textId="03CDC73C" w:rsidR="00E42628" w:rsidRDefault="00E42628" w:rsidP="004471A5">
      <w:pPr>
        <w:spacing w:after="0" w:line="240" w:lineRule="auto"/>
        <w:ind w:left="720"/>
        <w:rPr>
          <w:rFonts w:ascii="Arial" w:hAnsi="Arial" w:cs="Arial"/>
          <w:sz w:val="24"/>
          <w:szCs w:val="24"/>
        </w:rPr>
      </w:pPr>
      <w:r w:rsidRPr="004471A5">
        <w:rPr>
          <w:rFonts w:ascii="Arial" w:hAnsi="Arial" w:cs="Arial"/>
          <w:sz w:val="24"/>
          <w:szCs w:val="24"/>
        </w:rPr>
        <w:t xml:space="preserve">Pursuant to Ga. Const Art. V, § III, ¶ IV and O.C.G.A. § 45-15-3, the Attorney General represents the state of Georgia. Additionally, O.C.G.A § 50-5-64.1(a)(2)(A) provides that contracts shall not contain a term that provides for a person other than the Attorney General to serve as legal counsel for the state or for any agency, authority, board, bureau, commission, department, institution, or any entity thereof. Any such provision in a contract shall be deemed </w:t>
      </w:r>
      <w:r w:rsidR="00E30F0C" w:rsidRPr="004471A5">
        <w:rPr>
          <w:rFonts w:ascii="Arial" w:hAnsi="Arial" w:cs="Arial"/>
          <w:sz w:val="24"/>
          <w:szCs w:val="24"/>
        </w:rPr>
        <w:t>void,</w:t>
      </w:r>
      <w:r w:rsidRPr="004471A5">
        <w:rPr>
          <w:rFonts w:ascii="Arial" w:hAnsi="Arial" w:cs="Arial"/>
          <w:sz w:val="24"/>
          <w:szCs w:val="24"/>
        </w:rPr>
        <w:t xml:space="preserve"> and the contract shall be otherwise enforceable as if it did not contain such term.</w:t>
      </w:r>
    </w:p>
    <w:p w14:paraId="101B24EB" w14:textId="77777777" w:rsidR="004471A5" w:rsidRPr="004471A5" w:rsidRDefault="004471A5" w:rsidP="004471A5">
      <w:pPr>
        <w:spacing w:after="0" w:line="240" w:lineRule="auto"/>
        <w:ind w:left="360"/>
        <w:rPr>
          <w:rFonts w:ascii="Arial" w:hAnsi="Arial" w:cs="Arial"/>
          <w:sz w:val="24"/>
          <w:szCs w:val="24"/>
        </w:rPr>
      </w:pPr>
    </w:p>
    <w:p w14:paraId="4F80B71A" w14:textId="7F8CBC33"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 xml:space="preserve">Warranty/Guarantee. </w:t>
      </w:r>
    </w:p>
    <w:p w14:paraId="17FD45FA" w14:textId="77777777" w:rsidR="00E42628"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 xml:space="preserve">Any provision that requires a State Entity to unconditionally assure or promise a certain result or outcome. The Attorney General has advised that warranty provisions requiring State Entities to provide a warranty violate the prohibition against pledges of the State's credit and the prohibition against gratuities by the State. The reason is that resources may have to be expended to satisfy such warranty or guarantee.  </w:t>
      </w:r>
    </w:p>
    <w:p w14:paraId="736C63F6" w14:textId="77777777" w:rsidR="004471A5" w:rsidRPr="004471A5" w:rsidRDefault="004471A5" w:rsidP="004471A5">
      <w:pPr>
        <w:spacing w:after="0" w:line="240" w:lineRule="auto"/>
        <w:ind w:left="360"/>
        <w:jc w:val="both"/>
        <w:rPr>
          <w:rFonts w:ascii="Arial" w:hAnsi="Arial" w:cs="Arial"/>
          <w:sz w:val="24"/>
          <w:szCs w:val="24"/>
        </w:rPr>
      </w:pPr>
    </w:p>
    <w:p w14:paraId="6A724004" w14:textId="77777777" w:rsidR="00E42628" w:rsidRPr="004471A5" w:rsidRDefault="00E42628" w:rsidP="004471A5">
      <w:pPr>
        <w:pStyle w:val="Heading3"/>
        <w:spacing w:before="0"/>
        <w:ind w:left="720" w:hanging="720"/>
        <w:rPr>
          <w:rFonts w:ascii="Arial" w:hAnsi="Arial" w:cs="Arial"/>
          <w:sz w:val="24"/>
        </w:rPr>
      </w:pPr>
      <w:r w:rsidRPr="004471A5">
        <w:rPr>
          <w:rFonts w:ascii="Arial" w:hAnsi="Arial" w:cs="Arial"/>
          <w:sz w:val="24"/>
        </w:rPr>
        <w:t xml:space="preserve">Venue.  </w:t>
      </w:r>
    </w:p>
    <w:p w14:paraId="3C0EBC22" w14:textId="5285F01B" w:rsidR="00E42628" w:rsidRDefault="00E42628" w:rsidP="004471A5">
      <w:pPr>
        <w:spacing w:after="0" w:line="240" w:lineRule="auto"/>
        <w:ind w:left="720"/>
        <w:rPr>
          <w:rFonts w:ascii="Arial" w:hAnsi="Arial" w:cs="Arial"/>
          <w:sz w:val="24"/>
          <w:szCs w:val="24"/>
        </w:rPr>
      </w:pPr>
      <w:r w:rsidRPr="004471A5">
        <w:rPr>
          <w:rFonts w:ascii="Arial" w:hAnsi="Arial" w:cs="Arial"/>
          <w:sz w:val="24"/>
          <w:szCs w:val="24"/>
        </w:rPr>
        <w:t xml:space="preserve">As provided under O.C.G.A § 50-5-64.1(a)(2)(B), contracts shall not contain a term that provides for a venue for any action or dispute other than the Superior Court of Fulton County, </w:t>
      </w:r>
      <w:r w:rsidRPr="004471A5">
        <w:rPr>
          <w:rFonts w:ascii="Arial" w:hAnsi="Arial" w:cs="Arial"/>
          <w:sz w:val="24"/>
          <w:szCs w:val="24"/>
        </w:rPr>
        <w:lastRenderedPageBreak/>
        <w:t xml:space="preserve">Georgia. Any such provision in a contract shall be deemed </w:t>
      </w:r>
      <w:r w:rsidR="00E30F0C" w:rsidRPr="004471A5">
        <w:rPr>
          <w:rFonts w:ascii="Arial" w:hAnsi="Arial" w:cs="Arial"/>
          <w:sz w:val="24"/>
          <w:szCs w:val="24"/>
        </w:rPr>
        <w:t>void,</w:t>
      </w:r>
      <w:r w:rsidRPr="004471A5">
        <w:rPr>
          <w:rFonts w:ascii="Arial" w:hAnsi="Arial" w:cs="Arial"/>
          <w:sz w:val="24"/>
          <w:szCs w:val="24"/>
        </w:rPr>
        <w:t xml:space="preserve"> and the contract shall otherwise </w:t>
      </w:r>
      <w:r w:rsidR="00E30F0C" w:rsidRPr="004471A5">
        <w:rPr>
          <w:rFonts w:ascii="Arial" w:hAnsi="Arial" w:cs="Arial"/>
          <w:sz w:val="24"/>
          <w:szCs w:val="24"/>
        </w:rPr>
        <w:t>be enforceable</w:t>
      </w:r>
      <w:r w:rsidRPr="004471A5">
        <w:rPr>
          <w:rFonts w:ascii="Arial" w:hAnsi="Arial" w:cs="Arial"/>
          <w:sz w:val="24"/>
          <w:szCs w:val="24"/>
        </w:rPr>
        <w:t xml:space="preserve"> as if it did not contain such term. </w:t>
      </w:r>
      <w:r w:rsidRPr="004471A5">
        <w:rPr>
          <w:rFonts w:ascii="Arial" w:hAnsi="Arial" w:cs="Arial"/>
          <w:i/>
          <w:iCs/>
          <w:sz w:val="24"/>
          <w:szCs w:val="24"/>
        </w:rPr>
        <w:t>See also</w:t>
      </w:r>
      <w:r w:rsidRPr="004471A5">
        <w:rPr>
          <w:rFonts w:ascii="Arial" w:hAnsi="Arial" w:cs="Arial"/>
          <w:sz w:val="24"/>
          <w:szCs w:val="24"/>
        </w:rPr>
        <w:t xml:space="preserve"> O.C.G.A. § 50-21-1.</w:t>
      </w:r>
    </w:p>
    <w:p w14:paraId="639731A9" w14:textId="77777777" w:rsidR="004471A5" w:rsidRPr="004471A5" w:rsidRDefault="004471A5" w:rsidP="004471A5">
      <w:pPr>
        <w:spacing w:after="0" w:line="240" w:lineRule="auto"/>
        <w:ind w:left="360"/>
        <w:rPr>
          <w:rFonts w:ascii="Arial" w:hAnsi="Arial" w:cs="Arial"/>
          <w:sz w:val="24"/>
          <w:szCs w:val="24"/>
        </w:rPr>
      </w:pPr>
    </w:p>
    <w:p w14:paraId="1C5446A9" w14:textId="551CDF92" w:rsidR="00E42628" w:rsidRPr="004471A5" w:rsidRDefault="00E42628" w:rsidP="004471A5">
      <w:pPr>
        <w:pStyle w:val="Heading3"/>
        <w:keepNext w:val="0"/>
        <w:keepLines w:val="0"/>
        <w:spacing w:before="0"/>
        <w:ind w:left="720" w:hanging="720"/>
        <w:rPr>
          <w:rFonts w:ascii="Arial" w:hAnsi="Arial" w:cs="Arial"/>
          <w:sz w:val="24"/>
        </w:rPr>
      </w:pPr>
      <w:r w:rsidRPr="004471A5">
        <w:rPr>
          <w:rFonts w:ascii="Arial" w:hAnsi="Arial" w:cs="Arial"/>
          <w:sz w:val="24"/>
        </w:rPr>
        <w:t>Governing Law.</w:t>
      </w:r>
    </w:p>
    <w:p w14:paraId="682780DB" w14:textId="71C1C41C" w:rsidR="00E42628" w:rsidRDefault="00E42628" w:rsidP="004471A5">
      <w:pPr>
        <w:pStyle w:val="Heading3"/>
        <w:keepNext w:val="0"/>
        <w:keepLines w:val="0"/>
        <w:numPr>
          <w:ilvl w:val="0"/>
          <w:numId w:val="0"/>
        </w:numPr>
        <w:spacing w:before="0"/>
        <w:ind w:left="720"/>
        <w:rPr>
          <w:rFonts w:ascii="Arial" w:hAnsi="Arial" w:cs="Arial"/>
          <w:color w:val="auto"/>
          <w:sz w:val="24"/>
        </w:rPr>
      </w:pPr>
      <w:r w:rsidRPr="004471A5">
        <w:rPr>
          <w:rFonts w:ascii="Arial" w:hAnsi="Arial" w:cs="Arial"/>
          <w:b w:val="0"/>
          <w:bCs/>
          <w:sz w:val="24"/>
        </w:rPr>
        <w:t xml:space="preserve">As provided under O.C.G.A § 50-5-64.1(a)(2)(C), contracts shall not contain a term that provides for the contract to be construed in accordance with the laws of another state.  Any such provision in a contract shall be deemed </w:t>
      </w:r>
      <w:r w:rsidR="00E30F0C" w:rsidRPr="004471A5">
        <w:rPr>
          <w:rFonts w:ascii="Arial" w:hAnsi="Arial" w:cs="Arial"/>
          <w:b w:val="0"/>
          <w:bCs/>
          <w:sz w:val="24"/>
        </w:rPr>
        <w:t>void,</w:t>
      </w:r>
      <w:r w:rsidRPr="004471A5">
        <w:rPr>
          <w:rFonts w:ascii="Arial" w:hAnsi="Arial" w:cs="Arial"/>
          <w:b w:val="0"/>
          <w:bCs/>
          <w:sz w:val="24"/>
        </w:rPr>
        <w:t xml:space="preserve"> and the </w:t>
      </w:r>
      <w:r w:rsidRPr="004471A5">
        <w:rPr>
          <w:rFonts w:ascii="Arial" w:hAnsi="Arial" w:cs="Arial"/>
          <w:b w:val="0"/>
          <w:bCs/>
          <w:color w:val="auto"/>
          <w:sz w:val="24"/>
        </w:rPr>
        <w:t>contract shall be otherwise enforceable as if it did not contain such term.</w:t>
      </w:r>
      <w:r w:rsidRPr="004471A5">
        <w:rPr>
          <w:rFonts w:ascii="Arial" w:hAnsi="Arial" w:cs="Arial"/>
          <w:color w:val="auto"/>
          <w:sz w:val="24"/>
        </w:rPr>
        <w:t xml:space="preserve">  </w:t>
      </w:r>
    </w:p>
    <w:p w14:paraId="747F2704" w14:textId="77777777" w:rsidR="004471A5" w:rsidRPr="004471A5" w:rsidRDefault="004471A5" w:rsidP="004471A5">
      <w:pPr>
        <w:ind w:left="720" w:hanging="720"/>
      </w:pPr>
    </w:p>
    <w:p w14:paraId="4E874BFE" w14:textId="77777777" w:rsidR="00E42628" w:rsidRDefault="00E42628" w:rsidP="004471A5">
      <w:pPr>
        <w:pStyle w:val="Heading3"/>
        <w:spacing w:before="0"/>
        <w:ind w:left="720" w:hanging="720"/>
        <w:jc w:val="both"/>
        <w:rPr>
          <w:rFonts w:ascii="Arial" w:hAnsi="Arial" w:cs="Arial"/>
          <w:color w:val="auto"/>
          <w:sz w:val="24"/>
        </w:rPr>
      </w:pPr>
      <w:r w:rsidRPr="004471A5">
        <w:rPr>
          <w:rFonts w:ascii="Arial" w:hAnsi="Arial" w:cs="Arial"/>
          <w:color w:val="auto"/>
          <w:sz w:val="24"/>
        </w:rPr>
        <w:t>Requirements that the Department pay taxes, interest, penalty fees or cancellation charges, litigation costs, or attorney's fees.</w:t>
      </w:r>
    </w:p>
    <w:p w14:paraId="377B2178" w14:textId="0A205D1B" w:rsidR="00E42628" w:rsidRDefault="00E42628" w:rsidP="004471A5">
      <w:pPr>
        <w:pStyle w:val="HandbookBullet"/>
        <w:spacing w:before="0" w:after="0"/>
        <w:ind w:left="1620" w:hanging="540"/>
        <w:rPr>
          <w:rFonts w:ascii="Arial" w:hAnsi="Arial" w:cs="Arial"/>
          <w:sz w:val="24"/>
          <w:szCs w:val="24"/>
        </w:rPr>
      </w:pPr>
      <w:r w:rsidRPr="004471A5">
        <w:rPr>
          <w:rFonts w:ascii="Arial" w:hAnsi="Arial" w:cs="Arial"/>
          <w:sz w:val="24"/>
          <w:szCs w:val="24"/>
        </w:rPr>
        <w:t>ATTORNEY</w:t>
      </w:r>
      <w:r w:rsidR="004471A5">
        <w:rPr>
          <w:rFonts w:ascii="Arial" w:hAnsi="Arial" w:cs="Arial"/>
          <w:sz w:val="24"/>
          <w:szCs w:val="24"/>
        </w:rPr>
        <w:t>’</w:t>
      </w:r>
      <w:r w:rsidRPr="004471A5">
        <w:rPr>
          <w:rFonts w:ascii="Arial" w:hAnsi="Arial" w:cs="Arial"/>
          <w:sz w:val="24"/>
          <w:szCs w:val="24"/>
        </w:rPr>
        <w:t xml:space="preserve">S FEES/COSTS. State Entities will not agree to pay attorney’s fees or costs. The rationale is that such a payment would pledge the credit of the state in violation of Ga. Const. Art. VII, § IV, ¶ VIII and would be a violation of the gratuities clause of the Georgia Constitution.  </w:t>
      </w:r>
      <w:r w:rsidRPr="004471A5">
        <w:rPr>
          <w:rFonts w:ascii="Arial" w:hAnsi="Arial" w:cs="Arial"/>
          <w:i/>
          <w:sz w:val="24"/>
          <w:szCs w:val="24"/>
        </w:rPr>
        <w:t>See</w:t>
      </w:r>
      <w:r w:rsidRPr="004471A5">
        <w:rPr>
          <w:rFonts w:ascii="Arial" w:hAnsi="Arial" w:cs="Arial"/>
          <w:sz w:val="24"/>
          <w:szCs w:val="24"/>
        </w:rPr>
        <w:t xml:space="preserve"> </w:t>
      </w:r>
      <w:hyperlink r:id="rId8" w:history="1">
        <w:r w:rsidRPr="004471A5">
          <w:rPr>
            <w:rStyle w:val="Hyperlink"/>
            <w:rFonts w:ascii="Arial" w:hAnsi="Arial" w:cs="Arial"/>
            <w:sz w:val="24"/>
            <w:szCs w:val="24"/>
            <w:bdr w:val="none" w:sz="0" w:space="0" w:color="auto" w:frame="1"/>
            <w:shd w:val="clear" w:color="auto" w:fill="FFFFFF"/>
          </w:rPr>
          <w:t>Ga. Const. Art. III, § VI, ¶ VI</w:t>
        </w:r>
      </w:hyperlink>
      <w:r w:rsidRPr="004471A5">
        <w:rPr>
          <w:rFonts w:ascii="Arial" w:hAnsi="Arial" w:cs="Arial"/>
          <w:sz w:val="24"/>
          <w:szCs w:val="24"/>
        </w:rPr>
        <w:t>.</w:t>
      </w:r>
    </w:p>
    <w:p w14:paraId="0632CD7E" w14:textId="77777777" w:rsidR="004471A5" w:rsidRPr="004471A5" w:rsidRDefault="004471A5" w:rsidP="004471A5">
      <w:pPr>
        <w:pStyle w:val="HandbookBullet"/>
        <w:numPr>
          <w:ilvl w:val="0"/>
          <w:numId w:val="0"/>
        </w:numPr>
        <w:spacing w:before="0" w:after="0"/>
        <w:ind w:left="1620" w:hanging="540"/>
        <w:rPr>
          <w:rFonts w:ascii="Arial" w:hAnsi="Arial" w:cs="Arial"/>
          <w:sz w:val="24"/>
          <w:szCs w:val="24"/>
        </w:rPr>
      </w:pPr>
    </w:p>
    <w:p w14:paraId="09BFDC67" w14:textId="32880C4A" w:rsidR="00E42628" w:rsidRDefault="00E42628" w:rsidP="004471A5">
      <w:pPr>
        <w:pStyle w:val="HandbookBullet"/>
        <w:spacing w:before="0" w:after="0"/>
        <w:ind w:left="1620" w:hanging="540"/>
        <w:rPr>
          <w:rFonts w:ascii="Arial" w:hAnsi="Arial" w:cs="Arial"/>
          <w:sz w:val="24"/>
          <w:szCs w:val="24"/>
        </w:rPr>
      </w:pPr>
      <w:r w:rsidRPr="004471A5">
        <w:rPr>
          <w:rFonts w:ascii="Arial" w:hAnsi="Arial" w:cs="Arial"/>
          <w:sz w:val="24"/>
          <w:szCs w:val="24"/>
        </w:rPr>
        <w:t>DAMAGES.   The inclusion of indirect, consequential, or incidental damages payable by a State Entity are generally not acceptable</w:t>
      </w:r>
      <w:r w:rsidR="004471A5">
        <w:rPr>
          <w:rFonts w:ascii="Arial" w:hAnsi="Arial" w:cs="Arial"/>
          <w:sz w:val="24"/>
          <w:szCs w:val="24"/>
        </w:rPr>
        <w:t>.</w:t>
      </w:r>
    </w:p>
    <w:p w14:paraId="14A2CC6B" w14:textId="77777777" w:rsidR="004471A5" w:rsidRDefault="004471A5" w:rsidP="004471A5">
      <w:pPr>
        <w:pStyle w:val="ListParagraph"/>
        <w:spacing w:before="0" w:after="0"/>
        <w:ind w:left="1620" w:hanging="540"/>
        <w:rPr>
          <w:rFonts w:ascii="Arial" w:hAnsi="Arial" w:cs="Arial"/>
          <w:sz w:val="24"/>
          <w:szCs w:val="24"/>
        </w:rPr>
      </w:pPr>
    </w:p>
    <w:p w14:paraId="213BD74D" w14:textId="77777777" w:rsidR="004471A5" w:rsidRDefault="00E42628" w:rsidP="004471A5">
      <w:pPr>
        <w:pStyle w:val="HandbookBullet"/>
        <w:spacing w:before="0" w:after="0"/>
        <w:ind w:left="1620" w:hanging="540"/>
        <w:rPr>
          <w:rFonts w:ascii="Arial" w:hAnsi="Arial" w:cs="Arial"/>
          <w:sz w:val="24"/>
          <w:szCs w:val="24"/>
        </w:rPr>
      </w:pPr>
      <w:r w:rsidRPr="004471A5">
        <w:rPr>
          <w:rFonts w:ascii="Arial" w:hAnsi="Arial" w:cs="Arial"/>
          <w:sz w:val="24"/>
          <w:szCs w:val="24"/>
        </w:rPr>
        <w:t>INTEREST. Except as otherwise explicitly permitted by law, the Department and State Entities will not agree to pay interest. The Attorney General has advised the Department that payment of interest would pledge the credit of the state, be prohibited by the gratuities clause of the constitution, and that the Department lacks statutory authority to agree to the payment of interest.</w:t>
      </w:r>
    </w:p>
    <w:p w14:paraId="20770CCC" w14:textId="1F0F18EC" w:rsidR="00E42628" w:rsidRPr="004471A5" w:rsidRDefault="00E42628" w:rsidP="004471A5">
      <w:pPr>
        <w:pStyle w:val="HandbookBullet"/>
        <w:numPr>
          <w:ilvl w:val="0"/>
          <w:numId w:val="0"/>
        </w:numPr>
        <w:spacing w:before="0" w:after="0"/>
        <w:ind w:left="1620" w:hanging="540"/>
        <w:rPr>
          <w:rFonts w:ascii="Arial" w:hAnsi="Arial" w:cs="Arial"/>
          <w:sz w:val="24"/>
          <w:szCs w:val="24"/>
        </w:rPr>
      </w:pPr>
      <w:r w:rsidRPr="004471A5">
        <w:rPr>
          <w:rFonts w:ascii="Arial" w:hAnsi="Arial" w:cs="Arial"/>
          <w:sz w:val="24"/>
          <w:szCs w:val="24"/>
        </w:rPr>
        <w:t xml:space="preserve"> </w:t>
      </w:r>
    </w:p>
    <w:p w14:paraId="1232BC7D" w14:textId="77777777" w:rsidR="00E42628" w:rsidRDefault="00E42628" w:rsidP="004471A5">
      <w:pPr>
        <w:pStyle w:val="HandbookBullet"/>
        <w:spacing w:before="0" w:after="0"/>
        <w:ind w:left="1620" w:hanging="540"/>
        <w:rPr>
          <w:rFonts w:ascii="Arial" w:hAnsi="Arial" w:cs="Arial"/>
          <w:sz w:val="24"/>
          <w:szCs w:val="24"/>
        </w:rPr>
      </w:pPr>
      <w:r w:rsidRPr="004471A5">
        <w:rPr>
          <w:rFonts w:ascii="Arial" w:hAnsi="Arial" w:cs="Arial"/>
          <w:sz w:val="24"/>
          <w:szCs w:val="24"/>
        </w:rPr>
        <w:t>LATE PAYMENT/CANCELLATION CHARGES. State Entities do not agree to pay late payment charges. This policy stems from an opinion of the Attorney General that late payment charges are in the nature of penalty/gratuity which the State is constitutionally prohibited from paying. Agreeing to pay such charges would also pledge the credit of the state in violation of the constitution.  1974 Op. Att'y Gen. 74-115.</w:t>
      </w:r>
    </w:p>
    <w:p w14:paraId="7D173FC6" w14:textId="77777777" w:rsidR="004471A5" w:rsidRPr="004471A5" w:rsidRDefault="004471A5" w:rsidP="004471A5">
      <w:pPr>
        <w:pStyle w:val="HandbookBullet"/>
        <w:numPr>
          <w:ilvl w:val="0"/>
          <w:numId w:val="0"/>
        </w:numPr>
        <w:spacing w:before="0" w:after="0"/>
        <w:rPr>
          <w:rFonts w:ascii="Arial" w:hAnsi="Arial" w:cs="Arial"/>
          <w:sz w:val="24"/>
          <w:szCs w:val="24"/>
        </w:rPr>
      </w:pPr>
    </w:p>
    <w:p w14:paraId="3F75BABD" w14:textId="68D0E544" w:rsidR="00E42628" w:rsidRDefault="00E42628" w:rsidP="004471A5">
      <w:pPr>
        <w:pStyle w:val="HandbookBullet"/>
        <w:spacing w:before="0" w:after="0"/>
        <w:ind w:left="1620" w:hanging="540"/>
        <w:rPr>
          <w:rFonts w:ascii="Arial" w:hAnsi="Arial" w:cs="Arial"/>
          <w:sz w:val="24"/>
          <w:szCs w:val="24"/>
        </w:rPr>
      </w:pPr>
      <w:r w:rsidRPr="004471A5">
        <w:rPr>
          <w:rFonts w:ascii="Arial" w:hAnsi="Arial" w:cs="Arial"/>
          <w:sz w:val="24"/>
          <w:szCs w:val="24"/>
        </w:rPr>
        <w:t xml:space="preserve">TAXES. The State is exempt from most taxes and generally will not agree to contract language which requires the payment of taxes. State Entities will not agree to reimburse the supplier for the payment of taxes. However, State Entities will agree to language that states </w:t>
      </w:r>
      <w:r w:rsidR="004471A5">
        <w:rPr>
          <w:rFonts w:ascii="Arial" w:hAnsi="Arial" w:cs="Arial"/>
          <w:sz w:val="24"/>
          <w:szCs w:val="24"/>
        </w:rPr>
        <w:t>“</w:t>
      </w:r>
      <w:r w:rsidRPr="004471A5">
        <w:rPr>
          <w:rFonts w:ascii="Arial" w:hAnsi="Arial" w:cs="Arial"/>
          <w:sz w:val="24"/>
          <w:szCs w:val="24"/>
        </w:rPr>
        <w:t>the State Entity will pay taxes lawfully imposed upon it.”</w:t>
      </w:r>
    </w:p>
    <w:p w14:paraId="72738B80" w14:textId="77777777" w:rsidR="004471A5" w:rsidRPr="004471A5" w:rsidRDefault="004471A5" w:rsidP="004471A5">
      <w:pPr>
        <w:pStyle w:val="HandbookBullet"/>
        <w:numPr>
          <w:ilvl w:val="0"/>
          <w:numId w:val="0"/>
        </w:numPr>
        <w:spacing w:before="0" w:after="0"/>
        <w:ind w:left="720"/>
        <w:rPr>
          <w:rFonts w:ascii="Arial" w:hAnsi="Arial" w:cs="Arial"/>
          <w:sz w:val="24"/>
          <w:szCs w:val="24"/>
        </w:rPr>
      </w:pPr>
    </w:p>
    <w:p w14:paraId="2289A866" w14:textId="77777777" w:rsidR="00E42628" w:rsidRPr="004471A5" w:rsidRDefault="00E42628" w:rsidP="004471A5">
      <w:pPr>
        <w:pStyle w:val="Heading3"/>
        <w:tabs>
          <w:tab w:val="left" w:pos="720"/>
        </w:tabs>
        <w:spacing w:before="0"/>
        <w:ind w:left="720" w:hanging="720"/>
        <w:jc w:val="both"/>
        <w:rPr>
          <w:rFonts w:ascii="Arial" w:hAnsi="Arial" w:cs="Arial"/>
          <w:sz w:val="24"/>
        </w:rPr>
      </w:pPr>
      <w:r w:rsidRPr="004471A5">
        <w:rPr>
          <w:rFonts w:ascii="Arial" w:hAnsi="Arial" w:cs="Arial"/>
          <w:color w:val="auto"/>
          <w:sz w:val="24"/>
        </w:rPr>
        <w:t>Binding arbitration or waiver</w:t>
      </w:r>
      <w:r w:rsidRPr="004471A5">
        <w:rPr>
          <w:rFonts w:ascii="Arial" w:hAnsi="Arial" w:cs="Arial"/>
          <w:sz w:val="24"/>
        </w:rPr>
        <w:t xml:space="preserve"> of jury trial</w:t>
      </w:r>
      <w:r w:rsidRPr="004471A5">
        <w:rPr>
          <w:rFonts w:ascii="Arial" w:hAnsi="Arial" w:cs="Arial"/>
          <w:b w:val="0"/>
          <w:bCs/>
          <w:sz w:val="24"/>
        </w:rPr>
        <w:t>.</w:t>
      </w:r>
      <w:r w:rsidRPr="004471A5">
        <w:rPr>
          <w:rFonts w:ascii="Arial" w:hAnsi="Arial" w:cs="Arial"/>
          <w:sz w:val="24"/>
        </w:rPr>
        <w:t xml:space="preserve">  </w:t>
      </w:r>
    </w:p>
    <w:p w14:paraId="160E0C53" w14:textId="5E028A7A" w:rsidR="00E42628" w:rsidRDefault="00E42628" w:rsidP="004471A5">
      <w:pPr>
        <w:pStyle w:val="Heading3"/>
        <w:numPr>
          <w:ilvl w:val="0"/>
          <w:numId w:val="0"/>
        </w:numPr>
        <w:spacing w:before="0"/>
        <w:ind w:left="720"/>
        <w:jc w:val="both"/>
        <w:rPr>
          <w:rFonts w:ascii="Arial" w:hAnsi="Arial" w:cs="Arial"/>
          <w:b w:val="0"/>
          <w:bCs/>
          <w:sz w:val="24"/>
        </w:rPr>
      </w:pPr>
      <w:r w:rsidRPr="004471A5">
        <w:rPr>
          <w:rFonts w:ascii="Arial" w:hAnsi="Arial" w:cs="Arial"/>
          <w:b w:val="0"/>
          <w:bCs/>
          <w:sz w:val="24"/>
        </w:rPr>
        <w:t xml:space="preserve">As provided under O.C.G.A § 50-5-64.1(a)(2)(D), contracts shall not contain a term that provides for binding arbitration.  Any such provision in a contract shall be deemed </w:t>
      </w:r>
      <w:r w:rsidR="00E30F0C" w:rsidRPr="004471A5">
        <w:rPr>
          <w:rFonts w:ascii="Arial" w:hAnsi="Arial" w:cs="Arial"/>
          <w:b w:val="0"/>
          <w:bCs/>
          <w:sz w:val="24"/>
        </w:rPr>
        <w:t>void,</w:t>
      </w:r>
      <w:r w:rsidRPr="004471A5">
        <w:rPr>
          <w:rFonts w:ascii="Arial" w:hAnsi="Arial" w:cs="Arial"/>
          <w:b w:val="0"/>
          <w:bCs/>
          <w:sz w:val="24"/>
        </w:rPr>
        <w:t xml:space="preserve"> and the contract shall be otherwise enforceable as if it did not contain such term.</w:t>
      </w:r>
      <w:r w:rsidRPr="004471A5">
        <w:rPr>
          <w:rFonts w:ascii="Arial" w:hAnsi="Arial" w:cs="Arial"/>
          <w:sz w:val="24"/>
        </w:rPr>
        <w:t xml:space="preserve">  </w:t>
      </w:r>
      <w:r w:rsidRPr="004471A5">
        <w:rPr>
          <w:rFonts w:ascii="Arial" w:hAnsi="Arial" w:cs="Arial"/>
          <w:b w:val="0"/>
          <w:bCs/>
          <w:sz w:val="24"/>
        </w:rPr>
        <w:t xml:space="preserve">Further, State Entities do not maintain the authority to agree to waiver of a jury trial, as State law provides that the Attorney General has exclusive authority and control over all matters of litigation or potential litigation involving State agencies. Pre-litigation contractual waivers of jury trial are not enforceable in Georgia.  </w:t>
      </w:r>
      <w:r w:rsidRPr="004471A5">
        <w:rPr>
          <w:rFonts w:ascii="Arial" w:hAnsi="Arial" w:cs="Arial"/>
          <w:b w:val="0"/>
          <w:bCs/>
          <w:i/>
          <w:iCs/>
          <w:sz w:val="24"/>
        </w:rPr>
        <w:t xml:space="preserve">Bank South, N.A. v. Howard, </w:t>
      </w:r>
      <w:r w:rsidRPr="004471A5">
        <w:rPr>
          <w:rFonts w:ascii="Arial" w:hAnsi="Arial" w:cs="Arial"/>
          <w:b w:val="0"/>
          <w:bCs/>
          <w:sz w:val="24"/>
        </w:rPr>
        <w:t xml:space="preserve">264 Ga. 339 (1994). </w:t>
      </w:r>
    </w:p>
    <w:p w14:paraId="41EDE8AE" w14:textId="77777777" w:rsidR="004471A5" w:rsidRPr="004471A5" w:rsidRDefault="004471A5" w:rsidP="004471A5"/>
    <w:p w14:paraId="33FB99A1" w14:textId="77777777"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lastRenderedPageBreak/>
        <w:t>Any provision requiring a State Entity to be bound by terms and conditions that are unknown at the time of signing the agreement</w:t>
      </w:r>
      <w:r w:rsidRPr="004471A5">
        <w:rPr>
          <w:rFonts w:ascii="Arial" w:hAnsi="Arial" w:cs="Arial"/>
          <w:b w:val="0"/>
          <w:bCs/>
          <w:sz w:val="24"/>
        </w:rPr>
        <w:t>.</w:t>
      </w:r>
    </w:p>
    <w:p w14:paraId="2B162758" w14:textId="159E77E7" w:rsidR="00E42628" w:rsidRDefault="00E42628" w:rsidP="004471A5">
      <w:pPr>
        <w:spacing w:after="0" w:line="240" w:lineRule="auto"/>
        <w:ind w:left="720"/>
        <w:rPr>
          <w:rFonts w:ascii="Arial" w:hAnsi="Arial" w:cs="Arial"/>
          <w:sz w:val="24"/>
          <w:szCs w:val="24"/>
        </w:rPr>
      </w:pPr>
      <w:r w:rsidRPr="004471A5">
        <w:rPr>
          <w:rFonts w:ascii="Arial" w:hAnsi="Arial" w:cs="Arial"/>
          <w:sz w:val="24"/>
          <w:szCs w:val="24"/>
        </w:rPr>
        <w:t xml:space="preserve">As provided under O.C.G.A § 50-5-64.1(a)(1)(B), contracts shall not contain a term that requires </w:t>
      </w:r>
      <w:r w:rsidR="00C145E3" w:rsidRPr="004471A5">
        <w:rPr>
          <w:rFonts w:ascii="Arial" w:hAnsi="Arial" w:cs="Arial"/>
          <w:sz w:val="24"/>
          <w:szCs w:val="24"/>
        </w:rPr>
        <w:t>State Entities</w:t>
      </w:r>
      <w:r w:rsidRPr="004471A5">
        <w:rPr>
          <w:rFonts w:ascii="Arial" w:hAnsi="Arial" w:cs="Arial"/>
          <w:sz w:val="24"/>
          <w:szCs w:val="24"/>
        </w:rPr>
        <w:t xml:space="preserve"> to be bound by terms and conditions that are unknown at the time of signing such contract or which may be unilaterally changed. Any such provision in a contract shall be deemed </w:t>
      </w:r>
      <w:r w:rsidR="00E30F0C" w:rsidRPr="004471A5">
        <w:rPr>
          <w:rFonts w:ascii="Arial" w:hAnsi="Arial" w:cs="Arial"/>
          <w:sz w:val="24"/>
          <w:szCs w:val="24"/>
        </w:rPr>
        <w:t>void,</w:t>
      </w:r>
      <w:r w:rsidRPr="004471A5">
        <w:rPr>
          <w:rFonts w:ascii="Arial" w:hAnsi="Arial" w:cs="Arial"/>
          <w:sz w:val="24"/>
          <w:szCs w:val="24"/>
        </w:rPr>
        <w:t xml:space="preserve"> and the contract shall be otherwise enforceable as if it did not contain such term.</w:t>
      </w:r>
      <w:r w:rsidR="004471A5">
        <w:rPr>
          <w:rFonts w:ascii="Arial" w:hAnsi="Arial" w:cs="Arial"/>
          <w:sz w:val="24"/>
          <w:szCs w:val="24"/>
        </w:rPr>
        <w:t xml:space="preserve"> </w:t>
      </w:r>
      <w:r w:rsidRPr="004471A5">
        <w:rPr>
          <w:rFonts w:ascii="Arial" w:hAnsi="Arial" w:cs="Arial"/>
          <w:sz w:val="24"/>
          <w:szCs w:val="24"/>
        </w:rPr>
        <w:t xml:space="preserve">State Entities will not agree to contract provisions that incorporate additional obligations by </w:t>
      </w:r>
      <w:r w:rsidR="00E30F0C" w:rsidRPr="004471A5">
        <w:rPr>
          <w:rFonts w:ascii="Arial" w:hAnsi="Arial" w:cs="Arial"/>
          <w:sz w:val="24"/>
          <w:szCs w:val="24"/>
        </w:rPr>
        <w:t>reference</w:t>
      </w:r>
      <w:r w:rsidRPr="004471A5">
        <w:rPr>
          <w:rFonts w:ascii="Arial" w:hAnsi="Arial" w:cs="Arial"/>
          <w:sz w:val="24"/>
          <w:szCs w:val="24"/>
        </w:rPr>
        <w:t xml:space="preserve"> to terms and conditions located at a specific web address, as those provisions may be unilaterally changed.  </w:t>
      </w:r>
    </w:p>
    <w:p w14:paraId="3FA7C311" w14:textId="77777777" w:rsidR="004471A5" w:rsidRPr="004471A5" w:rsidRDefault="004471A5" w:rsidP="004471A5">
      <w:pPr>
        <w:spacing w:after="0" w:line="240" w:lineRule="auto"/>
        <w:ind w:left="360"/>
        <w:jc w:val="both"/>
        <w:rPr>
          <w:rFonts w:ascii="Arial" w:hAnsi="Arial" w:cs="Arial"/>
          <w:sz w:val="24"/>
          <w:szCs w:val="24"/>
        </w:rPr>
      </w:pPr>
    </w:p>
    <w:p w14:paraId="0BF0381C" w14:textId="77777777"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Best efforts provisions that require the expenditure of any funds or efforts necessary to meet the obligations of a contract, even if such efforts exceed the dollar amount of the contract</w:t>
      </w:r>
      <w:r w:rsidRPr="004471A5">
        <w:rPr>
          <w:rFonts w:ascii="Arial" w:hAnsi="Arial" w:cs="Arial"/>
          <w:b w:val="0"/>
          <w:bCs/>
          <w:sz w:val="24"/>
        </w:rPr>
        <w:t>.</w:t>
      </w:r>
    </w:p>
    <w:p w14:paraId="19A5352F" w14:textId="77777777" w:rsidR="00E42628"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State Entities will not agree to best efforts provisions that require the expenditure of any funds or efforts necessary to meet the obligations of a contract which exceed the dollar amount of the contract.  Similar to warranties and/or guarantees, such provisions violate the prohibition against pledging the State's credit. (Refer to discussion of warranties above for more information).</w:t>
      </w:r>
    </w:p>
    <w:p w14:paraId="3C997A36" w14:textId="77777777" w:rsidR="004471A5" w:rsidRPr="004471A5" w:rsidRDefault="004471A5" w:rsidP="004471A5">
      <w:pPr>
        <w:spacing w:after="0" w:line="240" w:lineRule="auto"/>
        <w:ind w:left="360"/>
        <w:jc w:val="both"/>
        <w:rPr>
          <w:rFonts w:ascii="Arial" w:hAnsi="Arial" w:cs="Arial"/>
          <w:sz w:val="24"/>
          <w:szCs w:val="24"/>
        </w:rPr>
      </w:pPr>
    </w:p>
    <w:p w14:paraId="71F60996" w14:textId="77777777"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Contractual provisions which require a State Entity to accept the risk of loss of items or goods during delivery.</w:t>
      </w:r>
    </w:p>
    <w:p w14:paraId="06DAC492" w14:textId="7B59FDD4" w:rsidR="00E42628" w:rsidRDefault="00E42628" w:rsidP="004471A5">
      <w:pPr>
        <w:spacing w:after="0" w:line="240" w:lineRule="auto"/>
        <w:ind w:firstLine="720"/>
        <w:jc w:val="both"/>
        <w:rPr>
          <w:rFonts w:ascii="Arial" w:hAnsi="Arial" w:cs="Arial"/>
          <w:sz w:val="24"/>
          <w:szCs w:val="24"/>
        </w:rPr>
      </w:pPr>
      <w:r w:rsidRPr="004471A5">
        <w:rPr>
          <w:rFonts w:ascii="Arial" w:hAnsi="Arial" w:cs="Arial"/>
          <w:sz w:val="24"/>
          <w:szCs w:val="24"/>
        </w:rPr>
        <w:t xml:space="preserve">As a general rule, </w:t>
      </w:r>
      <w:r w:rsidR="00C145E3" w:rsidRPr="004471A5">
        <w:rPr>
          <w:rFonts w:ascii="Arial" w:hAnsi="Arial" w:cs="Arial"/>
          <w:sz w:val="24"/>
          <w:szCs w:val="24"/>
        </w:rPr>
        <w:t>State Entities</w:t>
      </w:r>
      <w:r w:rsidRPr="004471A5">
        <w:rPr>
          <w:rFonts w:ascii="Arial" w:hAnsi="Arial" w:cs="Arial"/>
          <w:sz w:val="24"/>
          <w:szCs w:val="24"/>
        </w:rPr>
        <w:t xml:space="preserve"> do not accept risk of loss until receipt of the items or goods. </w:t>
      </w:r>
    </w:p>
    <w:p w14:paraId="761E5C2A" w14:textId="77777777" w:rsidR="004471A5" w:rsidRPr="004471A5" w:rsidRDefault="004471A5" w:rsidP="004471A5">
      <w:pPr>
        <w:spacing w:after="0" w:line="240" w:lineRule="auto"/>
        <w:ind w:firstLine="360"/>
        <w:jc w:val="both"/>
        <w:rPr>
          <w:rFonts w:ascii="Arial" w:hAnsi="Arial" w:cs="Arial"/>
          <w:sz w:val="24"/>
          <w:szCs w:val="24"/>
        </w:rPr>
      </w:pPr>
    </w:p>
    <w:p w14:paraId="11B3B8EF" w14:textId="77777777"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Contractual clauses that require a State Entity to purchase insurance policies.</w:t>
      </w:r>
    </w:p>
    <w:p w14:paraId="36CA5C87" w14:textId="77777777" w:rsidR="00E42628"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State law provides for the Department of Administrative Services to procure insurance for State entities. State Entities are covered by the Tort Claims Act and the State of Georgia Broad Form Insurance that is administered by the Department of Administrative Services. O.C.G.A. § 50-21-34(a) provides that tort claims against the state may only be paid from insurance provided under the Tort Claims Act. DOAS will not name an additional insured under these policies.</w:t>
      </w:r>
    </w:p>
    <w:p w14:paraId="1AB453A7" w14:textId="77777777" w:rsidR="004471A5" w:rsidRPr="004471A5" w:rsidRDefault="004471A5" w:rsidP="004471A5">
      <w:pPr>
        <w:spacing w:after="0" w:line="240" w:lineRule="auto"/>
        <w:ind w:left="720" w:hanging="720"/>
        <w:jc w:val="both"/>
        <w:rPr>
          <w:rFonts w:ascii="Arial" w:hAnsi="Arial" w:cs="Arial"/>
          <w:sz w:val="24"/>
          <w:szCs w:val="24"/>
        </w:rPr>
      </w:pPr>
    </w:p>
    <w:p w14:paraId="0C4C6743" w14:textId="77777777"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No Automatic renewals for agreements obligating state appropriated funds</w:t>
      </w:r>
      <w:r w:rsidRPr="004471A5">
        <w:rPr>
          <w:rFonts w:ascii="Arial" w:hAnsi="Arial" w:cs="Arial"/>
          <w:b w:val="0"/>
          <w:bCs/>
          <w:sz w:val="24"/>
        </w:rPr>
        <w:t xml:space="preserve">. </w:t>
      </w:r>
    </w:p>
    <w:p w14:paraId="6A221C00" w14:textId="5940AA96" w:rsidR="00E42628" w:rsidRDefault="00E42628" w:rsidP="004471A5">
      <w:pPr>
        <w:spacing w:after="0" w:line="240" w:lineRule="auto"/>
        <w:ind w:left="720"/>
        <w:rPr>
          <w:rFonts w:ascii="Arial" w:hAnsi="Arial" w:cs="Arial"/>
          <w:sz w:val="24"/>
          <w:szCs w:val="24"/>
        </w:rPr>
      </w:pPr>
      <w:r w:rsidRPr="004471A5">
        <w:rPr>
          <w:rFonts w:ascii="Arial" w:hAnsi="Arial" w:cs="Arial"/>
          <w:sz w:val="24"/>
          <w:szCs w:val="24"/>
        </w:rPr>
        <w:t xml:space="preserve">As provided under O.C.G.A § 50-5-64.1(a)(2)(E), contracts shall not contain a term that provides for an automatic renewal such that state funds are or would be obligated in subsequent fiscal years.  Any such provision in a contract shall be deemed </w:t>
      </w:r>
      <w:r w:rsidR="00E30F0C" w:rsidRPr="004471A5">
        <w:rPr>
          <w:rFonts w:ascii="Arial" w:hAnsi="Arial" w:cs="Arial"/>
          <w:sz w:val="24"/>
          <w:szCs w:val="24"/>
        </w:rPr>
        <w:t>void,</w:t>
      </w:r>
      <w:r w:rsidRPr="004471A5">
        <w:rPr>
          <w:rFonts w:ascii="Arial" w:hAnsi="Arial" w:cs="Arial"/>
          <w:sz w:val="24"/>
          <w:szCs w:val="24"/>
        </w:rPr>
        <w:t xml:space="preserve"> and the contract shall be otherwise enforceable as if it did not contain such term. Automatic renewals also pledge the credit of the state in violation of the constitution. 1974 Op. Att'y Gen. 74-115.</w:t>
      </w:r>
    </w:p>
    <w:p w14:paraId="19C01D47" w14:textId="77777777" w:rsidR="004471A5" w:rsidRPr="004471A5" w:rsidRDefault="004471A5" w:rsidP="004471A5">
      <w:pPr>
        <w:spacing w:after="0" w:line="240" w:lineRule="auto"/>
        <w:ind w:left="360"/>
        <w:rPr>
          <w:rFonts w:ascii="Arial" w:hAnsi="Arial" w:cs="Arial"/>
          <w:sz w:val="24"/>
          <w:szCs w:val="24"/>
        </w:rPr>
      </w:pPr>
    </w:p>
    <w:p w14:paraId="399921B7" w14:textId="0BA21CF4"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Multiyear Lease, Lease Purchase, and Purchase Contracts</w:t>
      </w:r>
      <w:r w:rsidRPr="004471A5">
        <w:rPr>
          <w:rFonts w:ascii="Arial" w:hAnsi="Arial" w:cs="Arial"/>
          <w:b w:val="0"/>
          <w:bCs/>
          <w:sz w:val="24"/>
        </w:rPr>
        <w:t>.</w:t>
      </w:r>
    </w:p>
    <w:p w14:paraId="42AF2AAB" w14:textId="77777777" w:rsidR="00E42628" w:rsidRPr="004471A5" w:rsidRDefault="00E42628" w:rsidP="004471A5">
      <w:pPr>
        <w:spacing w:after="0" w:line="240" w:lineRule="auto"/>
        <w:ind w:left="360" w:firstLine="360"/>
        <w:jc w:val="both"/>
        <w:rPr>
          <w:rFonts w:ascii="Arial" w:hAnsi="Arial" w:cs="Arial"/>
          <w:sz w:val="24"/>
          <w:szCs w:val="24"/>
        </w:rPr>
      </w:pPr>
      <w:r w:rsidRPr="004471A5">
        <w:rPr>
          <w:rFonts w:ascii="Arial" w:hAnsi="Arial" w:cs="Arial"/>
          <w:sz w:val="24"/>
          <w:szCs w:val="24"/>
        </w:rPr>
        <w:t>Pursuant to O.C.G.A. § 50-5-64, Multiyear agreements must meet the following requirements:</w:t>
      </w:r>
    </w:p>
    <w:p w14:paraId="5504BD02" w14:textId="124C1D8F" w:rsidR="00E42628" w:rsidRPr="004471A5" w:rsidRDefault="00E42628" w:rsidP="004471A5">
      <w:pPr>
        <w:numPr>
          <w:ilvl w:val="0"/>
          <w:numId w:val="21"/>
        </w:numPr>
        <w:spacing w:after="0" w:line="240" w:lineRule="auto"/>
        <w:jc w:val="both"/>
        <w:rPr>
          <w:rFonts w:ascii="Arial" w:hAnsi="Arial" w:cs="Arial"/>
          <w:sz w:val="24"/>
          <w:szCs w:val="24"/>
        </w:rPr>
      </w:pPr>
      <w:r w:rsidRPr="004471A5">
        <w:rPr>
          <w:rFonts w:ascii="Arial" w:hAnsi="Arial" w:cs="Arial"/>
          <w:sz w:val="24"/>
          <w:szCs w:val="24"/>
        </w:rPr>
        <w:t xml:space="preserve">unless (a) all funds required for the contract are maintained by the </w:t>
      </w:r>
      <w:r w:rsidR="00C145E3" w:rsidRPr="004471A5">
        <w:rPr>
          <w:rFonts w:ascii="Arial" w:hAnsi="Arial" w:cs="Arial"/>
          <w:sz w:val="24"/>
          <w:szCs w:val="24"/>
        </w:rPr>
        <w:t>State Entity</w:t>
      </w:r>
      <w:r w:rsidRPr="004471A5">
        <w:rPr>
          <w:rFonts w:ascii="Arial" w:hAnsi="Arial" w:cs="Arial"/>
          <w:sz w:val="24"/>
          <w:szCs w:val="24"/>
        </w:rPr>
        <w:t xml:space="preserve"> in hand at the time of contract execution (meaning that the </w:t>
      </w:r>
      <w:r w:rsidR="00C145E3" w:rsidRPr="004471A5">
        <w:rPr>
          <w:rFonts w:ascii="Arial" w:hAnsi="Arial" w:cs="Arial"/>
          <w:sz w:val="24"/>
          <w:szCs w:val="24"/>
        </w:rPr>
        <w:t>State Entity</w:t>
      </w:r>
      <w:r w:rsidRPr="004471A5">
        <w:rPr>
          <w:rFonts w:ascii="Arial" w:hAnsi="Arial" w:cs="Arial"/>
          <w:sz w:val="24"/>
          <w:szCs w:val="24"/>
        </w:rPr>
        <w:t xml:space="preserve"> has all funds necessary to pay the multiyear obligations and no additional appropriation or revenue are necessary for the </w:t>
      </w:r>
      <w:r w:rsidR="00C145E3" w:rsidRPr="004471A5">
        <w:rPr>
          <w:rFonts w:ascii="Arial" w:hAnsi="Arial" w:cs="Arial"/>
          <w:sz w:val="24"/>
          <w:szCs w:val="24"/>
        </w:rPr>
        <w:t>State Entity</w:t>
      </w:r>
      <w:r w:rsidRPr="004471A5">
        <w:rPr>
          <w:rFonts w:ascii="Arial" w:hAnsi="Arial" w:cs="Arial"/>
          <w:sz w:val="24"/>
          <w:szCs w:val="24"/>
        </w:rPr>
        <w:t xml:space="preserve"> to meet its contractual payment obligations) and (b) all such funds are obligated via </w:t>
      </w:r>
      <w:r w:rsidR="00C145E3" w:rsidRPr="004471A5">
        <w:rPr>
          <w:rFonts w:ascii="Arial" w:hAnsi="Arial" w:cs="Arial"/>
          <w:sz w:val="24"/>
          <w:szCs w:val="24"/>
        </w:rPr>
        <w:t>State Entity</w:t>
      </w:r>
      <w:r w:rsidRPr="004471A5">
        <w:rPr>
          <w:rFonts w:ascii="Arial" w:hAnsi="Arial" w:cs="Arial"/>
          <w:sz w:val="24"/>
          <w:szCs w:val="24"/>
        </w:rPr>
        <w:t xml:space="preserve"> accounting up front, typically via Purchase Order Incumbrance: </w:t>
      </w:r>
      <w:r w:rsidRPr="004471A5">
        <w:rPr>
          <w:rFonts w:ascii="Arial" w:hAnsi="Arial" w:cs="Arial"/>
          <w:i/>
          <w:sz w:val="24"/>
          <w:szCs w:val="24"/>
        </w:rPr>
        <w:t>See</w:t>
      </w:r>
      <w:r w:rsidRPr="004471A5">
        <w:rPr>
          <w:rFonts w:ascii="Arial" w:hAnsi="Arial" w:cs="Arial"/>
          <w:sz w:val="24"/>
          <w:szCs w:val="24"/>
        </w:rPr>
        <w:t xml:space="preserve"> 1980 Att’y Gen Op. 80-163</w:t>
      </w:r>
      <w:r w:rsidRPr="004471A5" w:rsidDel="00FD2DE9">
        <w:rPr>
          <w:rFonts w:ascii="Arial" w:hAnsi="Arial" w:cs="Arial"/>
          <w:sz w:val="24"/>
          <w:szCs w:val="24"/>
        </w:rPr>
        <w:t xml:space="preserve"> </w:t>
      </w:r>
    </w:p>
    <w:p w14:paraId="31D3DC3B" w14:textId="77777777" w:rsidR="00E42628" w:rsidRPr="004471A5" w:rsidRDefault="00E42628" w:rsidP="004471A5">
      <w:pPr>
        <w:pStyle w:val="HandbookBullet"/>
        <w:numPr>
          <w:ilvl w:val="0"/>
          <w:numId w:val="21"/>
        </w:numPr>
        <w:spacing w:before="0" w:after="0"/>
        <w:rPr>
          <w:rFonts w:ascii="Arial" w:hAnsi="Arial" w:cs="Arial"/>
          <w:sz w:val="24"/>
          <w:szCs w:val="24"/>
        </w:rPr>
      </w:pPr>
      <w:r w:rsidRPr="004471A5">
        <w:rPr>
          <w:rFonts w:ascii="Arial" w:hAnsi="Arial" w:cs="Arial"/>
          <w:sz w:val="24"/>
          <w:szCs w:val="24"/>
          <w:u w:val="single"/>
        </w:rPr>
        <w:t>Standard form</w:t>
      </w:r>
      <w:r w:rsidRPr="004471A5">
        <w:rPr>
          <w:rFonts w:ascii="Arial" w:hAnsi="Arial" w:cs="Arial"/>
          <w:sz w:val="24"/>
          <w:szCs w:val="24"/>
        </w:rPr>
        <w:t xml:space="preserve"> – O.C.G.A. </w:t>
      </w:r>
      <w:r w:rsidRPr="004471A5">
        <w:rPr>
          <w:rFonts w:ascii="Arial" w:hAnsi="Arial" w:cs="Arial"/>
          <w:bCs/>
          <w:sz w:val="24"/>
          <w:szCs w:val="24"/>
        </w:rPr>
        <w:t>§</w:t>
      </w:r>
      <w:r w:rsidRPr="004471A5">
        <w:rPr>
          <w:rFonts w:ascii="Arial" w:hAnsi="Arial" w:cs="Arial"/>
          <w:b/>
          <w:bCs/>
          <w:sz w:val="24"/>
          <w:szCs w:val="24"/>
        </w:rPr>
        <w:t xml:space="preserve"> </w:t>
      </w:r>
      <w:r w:rsidRPr="004471A5">
        <w:rPr>
          <w:rFonts w:ascii="Arial" w:hAnsi="Arial" w:cs="Arial"/>
          <w:sz w:val="24"/>
          <w:szCs w:val="24"/>
        </w:rPr>
        <w:t>50-5-64(a) requires that leases and lease purchase agreements shall only be executed on a standard form developed by DOAS.</w:t>
      </w:r>
    </w:p>
    <w:p w14:paraId="27B4897E" w14:textId="77777777" w:rsidR="00E42628" w:rsidRPr="004471A5" w:rsidRDefault="00E42628" w:rsidP="004471A5">
      <w:pPr>
        <w:pStyle w:val="HandbookBullet"/>
        <w:numPr>
          <w:ilvl w:val="0"/>
          <w:numId w:val="21"/>
        </w:numPr>
        <w:tabs>
          <w:tab w:val="left" w:pos="720"/>
        </w:tabs>
        <w:spacing w:before="0" w:after="0"/>
        <w:rPr>
          <w:rFonts w:ascii="Arial" w:hAnsi="Arial" w:cs="Arial"/>
          <w:sz w:val="24"/>
          <w:szCs w:val="24"/>
        </w:rPr>
      </w:pPr>
      <w:r w:rsidRPr="004471A5">
        <w:rPr>
          <w:rFonts w:ascii="Arial" w:hAnsi="Arial" w:cs="Arial"/>
          <w:sz w:val="24"/>
          <w:szCs w:val="24"/>
          <w:u w:val="single"/>
        </w:rPr>
        <w:t>Termination of Contract</w:t>
      </w:r>
      <w:r w:rsidRPr="004471A5">
        <w:rPr>
          <w:rFonts w:ascii="Arial" w:hAnsi="Arial" w:cs="Arial"/>
          <w:sz w:val="24"/>
          <w:szCs w:val="24"/>
        </w:rPr>
        <w:t xml:space="preserve"> – Contract terminates absolutely at the close of the fiscal year in which it is executed and the fiscal year for any renewals.  O.C.G.A. § 50-5-64(a)(1).</w:t>
      </w:r>
    </w:p>
    <w:p w14:paraId="540B7A3E" w14:textId="77777777" w:rsidR="00E42628" w:rsidRPr="004471A5" w:rsidRDefault="00E42628" w:rsidP="004471A5">
      <w:pPr>
        <w:pStyle w:val="HandbookBullet"/>
        <w:numPr>
          <w:ilvl w:val="0"/>
          <w:numId w:val="21"/>
        </w:numPr>
        <w:tabs>
          <w:tab w:val="left" w:pos="720"/>
        </w:tabs>
        <w:spacing w:before="0" w:after="0"/>
        <w:rPr>
          <w:rFonts w:ascii="Arial" w:hAnsi="Arial" w:cs="Arial"/>
          <w:b/>
          <w:sz w:val="24"/>
          <w:szCs w:val="24"/>
        </w:rPr>
      </w:pPr>
      <w:r w:rsidRPr="004471A5">
        <w:rPr>
          <w:rFonts w:ascii="Arial" w:hAnsi="Arial" w:cs="Arial"/>
          <w:sz w:val="24"/>
          <w:szCs w:val="24"/>
          <w:u w:val="single"/>
        </w:rPr>
        <w:lastRenderedPageBreak/>
        <w:t>No Automatic Renewals</w:t>
      </w:r>
      <w:r w:rsidRPr="004471A5">
        <w:rPr>
          <w:rFonts w:ascii="Arial" w:hAnsi="Arial" w:cs="Arial"/>
          <w:sz w:val="24"/>
          <w:szCs w:val="24"/>
        </w:rPr>
        <w:t xml:space="preserve"> - Contract terminates at the end of each fiscal year and can only be renewed by positive action taken by the agency.  O.C.G.A. § 50-5-64(a)(2).</w:t>
      </w:r>
    </w:p>
    <w:p w14:paraId="575D83B3" w14:textId="77777777" w:rsidR="00E42628" w:rsidRPr="004471A5" w:rsidRDefault="00E42628" w:rsidP="004471A5">
      <w:pPr>
        <w:pStyle w:val="HandbookBullet"/>
        <w:numPr>
          <w:ilvl w:val="0"/>
          <w:numId w:val="21"/>
        </w:numPr>
        <w:tabs>
          <w:tab w:val="left" w:pos="720"/>
        </w:tabs>
        <w:spacing w:before="0" w:after="0"/>
        <w:rPr>
          <w:rFonts w:ascii="Arial" w:hAnsi="Arial" w:cs="Arial"/>
          <w:sz w:val="24"/>
          <w:szCs w:val="24"/>
        </w:rPr>
      </w:pPr>
      <w:r w:rsidRPr="004471A5">
        <w:rPr>
          <w:rFonts w:ascii="Arial" w:hAnsi="Arial" w:cs="Arial"/>
          <w:sz w:val="24"/>
          <w:szCs w:val="24"/>
          <w:u w:val="single"/>
        </w:rPr>
        <w:t>Funding</w:t>
      </w:r>
      <w:r w:rsidRPr="004471A5">
        <w:rPr>
          <w:rFonts w:ascii="Arial" w:hAnsi="Arial" w:cs="Arial"/>
          <w:b/>
          <w:sz w:val="24"/>
          <w:szCs w:val="24"/>
        </w:rPr>
        <w:t xml:space="preserve"> </w:t>
      </w:r>
      <w:r w:rsidRPr="004471A5">
        <w:rPr>
          <w:rFonts w:ascii="Arial" w:hAnsi="Arial" w:cs="Arial"/>
          <w:sz w:val="24"/>
          <w:szCs w:val="24"/>
        </w:rPr>
        <w:t>– Contract terminates immediately when funding is no longer available.  Agency makes determination as to whether funds are unavailable at its sole discretion.  O.C.G.A. § 50-5-64(a)(3).</w:t>
      </w:r>
    </w:p>
    <w:p w14:paraId="39924870" w14:textId="77777777" w:rsidR="00E42628" w:rsidRPr="004471A5" w:rsidRDefault="00E42628" w:rsidP="004471A5">
      <w:pPr>
        <w:pStyle w:val="HandbookBullet"/>
        <w:numPr>
          <w:ilvl w:val="0"/>
          <w:numId w:val="21"/>
        </w:numPr>
        <w:tabs>
          <w:tab w:val="left" w:pos="720"/>
        </w:tabs>
        <w:spacing w:before="0" w:after="0"/>
        <w:rPr>
          <w:rFonts w:ascii="Arial" w:hAnsi="Arial" w:cs="Arial"/>
          <w:sz w:val="24"/>
          <w:szCs w:val="24"/>
        </w:rPr>
      </w:pPr>
      <w:r w:rsidRPr="004471A5">
        <w:rPr>
          <w:rFonts w:ascii="Arial" w:hAnsi="Arial" w:cs="Arial"/>
          <w:sz w:val="24"/>
          <w:szCs w:val="24"/>
          <w:u w:val="single"/>
        </w:rPr>
        <w:t>Listing of Obligation</w:t>
      </w:r>
      <w:r w:rsidRPr="004471A5">
        <w:rPr>
          <w:rFonts w:ascii="Arial" w:hAnsi="Arial" w:cs="Arial"/>
          <w:sz w:val="24"/>
          <w:szCs w:val="24"/>
        </w:rPr>
        <w:t xml:space="preserve"> – Contract must list total obligation for the fiscal year and any obligations for renewals.  O.C.G.A. § 50-5-64(a)(4).</w:t>
      </w:r>
    </w:p>
    <w:p w14:paraId="3BF1C56F" w14:textId="77777777" w:rsidR="00E42628" w:rsidRPr="004471A5" w:rsidRDefault="00E42628" w:rsidP="004471A5">
      <w:pPr>
        <w:pStyle w:val="HandbookBullet"/>
        <w:numPr>
          <w:ilvl w:val="0"/>
          <w:numId w:val="21"/>
        </w:numPr>
        <w:tabs>
          <w:tab w:val="left" w:pos="720"/>
        </w:tabs>
        <w:spacing w:before="0" w:after="0"/>
        <w:rPr>
          <w:rFonts w:ascii="Arial" w:hAnsi="Arial" w:cs="Arial"/>
          <w:sz w:val="24"/>
          <w:szCs w:val="24"/>
        </w:rPr>
      </w:pPr>
      <w:r w:rsidRPr="004471A5">
        <w:rPr>
          <w:rFonts w:ascii="Arial" w:hAnsi="Arial" w:cs="Arial"/>
          <w:sz w:val="24"/>
          <w:szCs w:val="24"/>
          <w:u w:val="single"/>
        </w:rPr>
        <w:t>Title</w:t>
      </w:r>
      <w:r w:rsidRPr="004471A5">
        <w:rPr>
          <w:rFonts w:ascii="Arial" w:hAnsi="Arial" w:cs="Arial"/>
          <w:sz w:val="24"/>
          <w:szCs w:val="24"/>
        </w:rPr>
        <w:t xml:space="preserve"> - Title to any goods or equipment remain with the supplier until fully paid by the agency.  O.C.G.A. § 50-5-64(a)(5).  However, for lease purchases agreements, O.C.G.A. § 50-5-65(b) allows agencies to accept title upon execution of the DOAS standard form.  Agencies can also transfer title back to the vendor if the agreement is not fully consummated.</w:t>
      </w:r>
    </w:p>
    <w:p w14:paraId="452FF782" w14:textId="77777777" w:rsidR="00E42628" w:rsidRDefault="00E42628" w:rsidP="004471A5">
      <w:pPr>
        <w:pStyle w:val="Heading3"/>
        <w:keepNext w:val="0"/>
        <w:keepLines w:val="0"/>
        <w:numPr>
          <w:ilvl w:val="0"/>
          <w:numId w:val="21"/>
        </w:numPr>
        <w:spacing w:before="0"/>
        <w:jc w:val="both"/>
        <w:rPr>
          <w:rFonts w:ascii="Arial" w:hAnsi="Arial" w:cs="Arial"/>
          <w:b w:val="0"/>
          <w:bCs/>
          <w:sz w:val="24"/>
        </w:rPr>
      </w:pPr>
      <w:r w:rsidRPr="004471A5">
        <w:rPr>
          <w:rFonts w:ascii="Arial" w:hAnsi="Arial" w:cs="Arial"/>
          <w:b w:val="0"/>
          <w:bCs/>
          <w:sz w:val="24"/>
          <w:u w:val="single"/>
        </w:rPr>
        <w:t>Interest</w:t>
      </w:r>
      <w:r w:rsidRPr="004471A5">
        <w:rPr>
          <w:rFonts w:ascii="Arial" w:hAnsi="Arial" w:cs="Arial"/>
          <w:b w:val="0"/>
          <w:bCs/>
          <w:sz w:val="24"/>
        </w:rPr>
        <w:t xml:space="preserve"> – Lease Agreement can provide for the payment of interest.  O.C.G.A. § 50-5-64(d).</w:t>
      </w:r>
    </w:p>
    <w:p w14:paraId="26BAE132" w14:textId="77777777" w:rsidR="004471A5" w:rsidRDefault="004471A5" w:rsidP="004471A5">
      <w:pPr>
        <w:pStyle w:val="Heading3"/>
        <w:keepNext w:val="0"/>
        <w:keepLines w:val="0"/>
        <w:numPr>
          <w:ilvl w:val="0"/>
          <w:numId w:val="0"/>
        </w:numPr>
        <w:spacing w:before="0"/>
        <w:ind w:left="360"/>
        <w:rPr>
          <w:rFonts w:ascii="Arial" w:hAnsi="Arial" w:cs="Arial"/>
          <w:sz w:val="24"/>
        </w:rPr>
      </w:pPr>
    </w:p>
    <w:p w14:paraId="5C371B4E" w14:textId="6D45B843" w:rsidR="00E42628" w:rsidRPr="004471A5" w:rsidRDefault="00E42628" w:rsidP="004471A5">
      <w:pPr>
        <w:pStyle w:val="Heading3"/>
        <w:keepNext w:val="0"/>
        <w:keepLines w:val="0"/>
        <w:spacing w:before="0"/>
        <w:ind w:left="720" w:hanging="720"/>
        <w:rPr>
          <w:rFonts w:ascii="Arial" w:hAnsi="Arial" w:cs="Arial"/>
          <w:sz w:val="24"/>
        </w:rPr>
      </w:pPr>
      <w:r w:rsidRPr="004471A5">
        <w:rPr>
          <w:rFonts w:ascii="Arial" w:hAnsi="Arial" w:cs="Arial"/>
          <w:sz w:val="24"/>
        </w:rPr>
        <w:t>No liens, security interest, or UCC Filings</w:t>
      </w:r>
      <w:r w:rsidRPr="004471A5">
        <w:rPr>
          <w:rFonts w:ascii="Arial" w:hAnsi="Arial" w:cs="Arial"/>
          <w:b w:val="0"/>
          <w:bCs/>
          <w:sz w:val="24"/>
        </w:rPr>
        <w:t>.</w:t>
      </w:r>
      <w:r w:rsidRPr="004471A5">
        <w:rPr>
          <w:rFonts w:ascii="Arial" w:hAnsi="Arial" w:cs="Arial"/>
          <w:sz w:val="24"/>
        </w:rPr>
        <w:t xml:space="preserve"> </w:t>
      </w:r>
    </w:p>
    <w:p w14:paraId="491F5A73" w14:textId="24930A68" w:rsidR="00E42628" w:rsidRDefault="00E42628" w:rsidP="004471A5">
      <w:pPr>
        <w:pStyle w:val="Heading3"/>
        <w:keepNext w:val="0"/>
        <w:keepLines w:val="0"/>
        <w:numPr>
          <w:ilvl w:val="0"/>
          <w:numId w:val="0"/>
        </w:numPr>
        <w:spacing w:before="0"/>
        <w:ind w:left="720"/>
        <w:rPr>
          <w:rFonts w:ascii="Arial" w:hAnsi="Arial" w:cs="Arial"/>
          <w:b w:val="0"/>
          <w:bCs/>
          <w:sz w:val="24"/>
        </w:rPr>
      </w:pPr>
      <w:r w:rsidRPr="004471A5">
        <w:rPr>
          <w:rFonts w:ascii="Arial" w:hAnsi="Arial" w:cs="Arial"/>
          <w:b w:val="0"/>
          <w:bCs/>
          <w:sz w:val="24"/>
        </w:rPr>
        <w:t>The execution or levy against state funds or property is not permitted as there is no waiver of sovereign immunity for such actions in the Constitution or by the General Assembly, security interests, or UCC filings. Agencies only have powers conferred by the legislature. State agencies do not have the authority to grant security interests in public property.</w:t>
      </w:r>
      <w:r w:rsidRPr="004471A5">
        <w:rPr>
          <w:rFonts w:ascii="Arial" w:hAnsi="Arial" w:cs="Arial"/>
          <w:sz w:val="24"/>
        </w:rPr>
        <w:t xml:space="preserve"> </w:t>
      </w:r>
      <w:r w:rsidRPr="004471A5">
        <w:rPr>
          <w:rFonts w:ascii="Arial" w:hAnsi="Arial" w:cs="Arial"/>
          <w:b w:val="0"/>
          <w:bCs/>
          <w:i/>
          <w:iCs/>
          <w:sz w:val="24"/>
        </w:rPr>
        <w:t xml:space="preserve">Dekalb County v. J&amp;A Pipeline Co., </w:t>
      </w:r>
      <w:r w:rsidRPr="004471A5">
        <w:rPr>
          <w:rFonts w:ascii="Arial" w:hAnsi="Arial" w:cs="Arial"/>
          <w:b w:val="0"/>
          <w:bCs/>
          <w:sz w:val="24"/>
        </w:rPr>
        <w:t>263 Ga. 645 (1993).</w:t>
      </w:r>
    </w:p>
    <w:p w14:paraId="1AEA5ABE" w14:textId="77777777" w:rsidR="004471A5" w:rsidRDefault="004471A5" w:rsidP="004471A5">
      <w:pPr>
        <w:pStyle w:val="Heading3"/>
        <w:numPr>
          <w:ilvl w:val="0"/>
          <w:numId w:val="0"/>
        </w:numPr>
        <w:spacing w:before="0"/>
        <w:ind w:left="720" w:hanging="720"/>
        <w:rPr>
          <w:rFonts w:ascii="Arial" w:hAnsi="Arial" w:cs="Arial"/>
          <w:sz w:val="24"/>
        </w:rPr>
      </w:pPr>
    </w:p>
    <w:p w14:paraId="52DDC2D2" w14:textId="084A068F" w:rsidR="00E42628" w:rsidRPr="004471A5" w:rsidRDefault="00E42628" w:rsidP="004471A5">
      <w:pPr>
        <w:pStyle w:val="Heading3"/>
        <w:spacing w:before="0"/>
        <w:ind w:left="720" w:hanging="720"/>
        <w:rPr>
          <w:rFonts w:ascii="Arial" w:hAnsi="Arial" w:cs="Arial"/>
          <w:sz w:val="24"/>
        </w:rPr>
      </w:pPr>
      <w:r w:rsidRPr="004471A5">
        <w:rPr>
          <w:rFonts w:ascii="Arial" w:hAnsi="Arial" w:cs="Arial"/>
          <w:sz w:val="24"/>
        </w:rPr>
        <w:t>Unconditional contract payments.</w:t>
      </w:r>
    </w:p>
    <w:p w14:paraId="2087D259" w14:textId="06EACC53" w:rsidR="00E42628" w:rsidRPr="004471A5" w:rsidRDefault="00E42628" w:rsidP="004471A5">
      <w:pPr>
        <w:pStyle w:val="Heading3"/>
        <w:numPr>
          <w:ilvl w:val="0"/>
          <w:numId w:val="0"/>
        </w:numPr>
        <w:spacing w:before="0"/>
        <w:ind w:left="720"/>
        <w:rPr>
          <w:rFonts w:ascii="Arial" w:hAnsi="Arial" w:cs="Arial"/>
          <w:b w:val="0"/>
          <w:bCs/>
          <w:sz w:val="24"/>
        </w:rPr>
      </w:pPr>
      <w:r w:rsidRPr="004471A5">
        <w:rPr>
          <w:rFonts w:ascii="Arial" w:hAnsi="Arial" w:cs="Arial"/>
          <w:b w:val="0"/>
          <w:bCs/>
          <w:sz w:val="24"/>
        </w:rPr>
        <w:t xml:space="preserve">Agencies generally cannot agree to unconditional payments. Any assignment of the Supplier’s right to receive payment must be subject to all of the Agency’s defenses. As a practical matter, if a dispute arises, the agency needs to be able to resolve the dispute. This is particularly problematic in financing agreements, as a dispute may arise between the vendor providing the equipment and the agency and yet the Agreement requires the agency to continue paying the financing company.  This may constitute as a gratuity, which is prohibited under the State Constitution. </w:t>
      </w:r>
      <w:r w:rsidRPr="004471A5">
        <w:rPr>
          <w:rFonts w:ascii="Arial" w:hAnsi="Arial" w:cs="Arial"/>
          <w:b w:val="0"/>
          <w:bCs/>
          <w:i/>
          <w:sz w:val="24"/>
        </w:rPr>
        <w:t>See</w:t>
      </w:r>
      <w:r w:rsidRPr="004471A5">
        <w:rPr>
          <w:rFonts w:ascii="Arial" w:hAnsi="Arial" w:cs="Arial"/>
          <w:b w:val="0"/>
          <w:bCs/>
          <w:sz w:val="24"/>
        </w:rPr>
        <w:t xml:space="preserve"> Ga. Const. Art. III. § VI, ¶ VI). Additionally, State Entities are prohibited from incurring debt except as provided by law. Ga. Const. Art. VII, Sec. IV, Par. I; Ga. Const. Art. VII, Sec. IV, Par. VIII; O.C.G.A. § 50-17-24.</w:t>
      </w:r>
    </w:p>
    <w:p w14:paraId="662170F4" w14:textId="77777777" w:rsidR="004471A5" w:rsidRDefault="004471A5" w:rsidP="004471A5">
      <w:pPr>
        <w:pStyle w:val="Heading3"/>
        <w:numPr>
          <w:ilvl w:val="0"/>
          <w:numId w:val="0"/>
        </w:numPr>
        <w:spacing w:before="0"/>
        <w:ind w:left="360"/>
        <w:rPr>
          <w:rFonts w:ascii="Arial" w:hAnsi="Arial" w:cs="Arial"/>
          <w:sz w:val="24"/>
        </w:rPr>
      </w:pPr>
    </w:p>
    <w:p w14:paraId="159D74EE" w14:textId="3802FFF0" w:rsidR="00E42628" w:rsidRPr="004471A5" w:rsidRDefault="00E42628" w:rsidP="004471A5">
      <w:pPr>
        <w:pStyle w:val="Heading3"/>
        <w:spacing w:before="0"/>
        <w:ind w:left="720" w:hanging="720"/>
        <w:rPr>
          <w:rFonts w:ascii="Arial" w:hAnsi="Arial" w:cs="Arial"/>
          <w:sz w:val="24"/>
        </w:rPr>
      </w:pPr>
      <w:r w:rsidRPr="004471A5">
        <w:rPr>
          <w:rFonts w:ascii="Arial" w:hAnsi="Arial" w:cs="Arial"/>
          <w:sz w:val="24"/>
        </w:rPr>
        <w:t>No upfront payments for goods/services.</w:t>
      </w:r>
    </w:p>
    <w:p w14:paraId="549B84B5" w14:textId="3BB44479" w:rsidR="00E42628" w:rsidRPr="004471A5"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State Entities are generally not authorized to make payment prior to receipt of goods/services.  (Pursuant to the State of Georgia Accounting Procedures Manual, payables for normal operating expenditures should be recognized when the goods and services have been received. Accounting Manual Reference: Section: Vendor Management; Subsection: Payment Method).</w:t>
      </w:r>
    </w:p>
    <w:p w14:paraId="2A7A2922" w14:textId="77777777" w:rsidR="004471A5" w:rsidRDefault="004471A5" w:rsidP="004471A5">
      <w:pPr>
        <w:pStyle w:val="Heading3"/>
        <w:numPr>
          <w:ilvl w:val="0"/>
          <w:numId w:val="0"/>
        </w:numPr>
        <w:spacing w:before="0"/>
        <w:ind w:left="720" w:hanging="720"/>
        <w:jc w:val="both"/>
        <w:rPr>
          <w:rFonts w:ascii="Arial" w:hAnsi="Arial" w:cs="Arial"/>
          <w:sz w:val="24"/>
        </w:rPr>
      </w:pPr>
    </w:p>
    <w:p w14:paraId="6D3F0112" w14:textId="78AD4698"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Drug Free Workplace.</w:t>
      </w:r>
    </w:p>
    <w:p w14:paraId="25191045" w14:textId="5EBC94E2" w:rsidR="00E42628" w:rsidRPr="004471A5"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 xml:space="preserve">Pursuant to O.C.G.A. § 50-24-3 and § 50-24-4, the State Entities must include in contracts with contractors as defined in O.C.G.A. § 50-24-2 specific certifications regarding the provision of a </w:t>
      </w:r>
      <w:r w:rsidR="00E30F0C" w:rsidRPr="004471A5">
        <w:rPr>
          <w:rFonts w:ascii="Arial" w:hAnsi="Arial" w:cs="Arial"/>
          <w:sz w:val="24"/>
          <w:szCs w:val="24"/>
        </w:rPr>
        <w:t>drug-free</w:t>
      </w:r>
      <w:r w:rsidRPr="004471A5">
        <w:rPr>
          <w:rFonts w:ascii="Arial" w:hAnsi="Arial" w:cs="Arial"/>
          <w:sz w:val="24"/>
          <w:szCs w:val="24"/>
        </w:rPr>
        <w:t xml:space="preserve"> workplace and prohibition against engaging in certain activities relating to unlawful drug-related activities.</w:t>
      </w:r>
    </w:p>
    <w:p w14:paraId="415AB78F" w14:textId="77777777" w:rsidR="004471A5" w:rsidRDefault="004471A5" w:rsidP="004471A5">
      <w:pPr>
        <w:pStyle w:val="Heading3"/>
        <w:numPr>
          <w:ilvl w:val="0"/>
          <w:numId w:val="0"/>
        </w:numPr>
        <w:spacing w:before="0"/>
        <w:ind w:left="720" w:hanging="720"/>
        <w:jc w:val="both"/>
        <w:rPr>
          <w:rFonts w:ascii="Arial" w:hAnsi="Arial" w:cs="Arial"/>
          <w:sz w:val="24"/>
        </w:rPr>
      </w:pPr>
    </w:p>
    <w:p w14:paraId="4D91DCF0" w14:textId="0DB3AF5A"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Confidentiality.</w:t>
      </w:r>
    </w:p>
    <w:p w14:paraId="6FD5D407" w14:textId="12E9B19F" w:rsidR="00E42628" w:rsidRPr="004471A5" w:rsidRDefault="00E42628" w:rsidP="004471A5">
      <w:pPr>
        <w:spacing w:after="0" w:line="240" w:lineRule="auto"/>
        <w:ind w:left="720"/>
        <w:rPr>
          <w:rFonts w:ascii="Arial" w:hAnsi="Arial" w:cs="Arial"/>
          <w:sz w:val="24"/>
          <w:szCs w:val="24"/>
        </w:rPr>
      </w:pPr>
      <w:r w:rsidRPr="004471A5">
        <w:rPr>
          <w:rFonts w:ascii="Arial" w:hAnsi="Arial" w:cs="Arial"/>
          <w:sz w:val="24"/>
          <w:szCs w:val="24"/>
        </w:rPr>
        <w:t xml:space="preserve">As provided under O.C.G.A § 50-5-64.1(a)(3), contracts shall not contain a term that is inconsistent with the provisions of Article 4 of Chapter 18 of Title 50, relating to open records. </w:t>
      </w:r>
      <w:r w:rsidRPr="004471A5">
        <w:rPr>
          <w:rFonts w:ascii="Arial" w:hAnsi="Arial" w:cs="Arial"/>
          <w:sz w:val="24"/>
          <w:szCs w:val="24"/>
        </w:rPr>
        <w:lastRenderedPageBreak/>
        <w:t xml:space="preserve">Any such provision in a contract shall be deemed </w:t>
      </w:r>
      <w:r w:rsidR="00E30F0C" w:rsidRPr="004471A5">
        <w:rPr>
          <w:rFonts w:ascii="Arial" w:hAnsi="Arial" w:cs="Arial"/>
          <w:sz w:val="24"/>
          <w:szCs w:val="24"/>
        </w:rPr>
        <w:t>void,</w:t>
      </w:r>
      <w:r w:rsidRPr="004471A5">
        <w:rPr>
          <w:rFonts w:ascii="Arial" w:hAnsi="Arial" w:cs="Arial"/>
          <w:sz w:val="24"/>
          <w:szCs w:val="24"/>
        </w:rPr>
        <w:t xml:space="preserve"> and the contract shall be otherwise enforceable as if it did not contain such term. </w:t>
      </w:r>
    </w:p>
    <w:p w14:paraId="737CDC07" w14:textId="77777777" w:rsidR="004471A5" w:rsidRDefault="004471A5" w:rsidP="004471A5">
      <w:pPr>
        <w:spacing w:after="0" w:line="240" w:lineRule="auto"/>
        <w:ind w:left="360"/>
        <w:jc w:val="both"/>
        <w:rPr>
          <w:rFonts w:ascii="Arial" w:hAnsi="Arial" w:cs="Arial"/>
          <w:sz w:val="24"/>
          <w:szCs w:val="24"/>
        </w:rPr>
      </w:pPr>
    </w:p>
    <w:p w14:paraId="7933FF82" w14:textId="3C8F7F9A" w:rsidR="00E42628" w:rsidRPr="004471A5"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 xml:space="preserve">Any confidentiality provisions in a contract must be subject to the Georgia Open Records Act, O.C.G.A. § 50-18-70 et seq., as State Entities are public agencies of the State of Georgia and subject to other requirements of law or court order. Additionally, the Georgia Department of Administrative Services generally considers pricing information to be subject to public disclosure.  </w:t>
      </w:r>
      <w:r w:rsidRPr="004471A5">
        <w:rPr>
          <w:rFonts w:ascii="Arial" w:hAnsi="Arial" w:cs="Arial"/>
          <w:i/>
          <w:sz w:val="24"/>
          <w:szCs w:val="24"/>
        </w:rPr>
        <w:t>See State Rd. &amp; Tollway Auth. v. Elec. Transaction Consultants Corp.</w:t>
      </w:r>
      <w:r w:rsidRPr="004471A5">
        <w:rPr>
          <w:rFonts w:ascii="Arial" w:hAnsi="Arial" w:cs="Arial"/>
          <w:sz w:val="24"/>
          <w:szCs w:val="24"/>
        </w:rPr>
        <w:t>, 306 Ga. App. 487 (2010).</w:t>
      </w:r>
    </w:p>
    <w:p w14:paraId="03B4723F" w14:textId="77777777" w:rsidR="004471A5" w:rsidRDefault="004471A5" w:rsidP="004471A5">
      <w:pPr>
        <w:pStyle w:val="Heading3"/>
        <w:numPr>
          <w:ilvl w:val="0"/>
          <w:numId w:val="0"/>
        </w:numPr>
        <w:spacing w:before="0"/>
        <w:ind w:left="360"/>
        <w:jc w:val="both"/>
        <w:rPr>
          <w:rFonts w:ascii="Arial" w:hAnsi="Arial" w:cs="Arial"/>
          <w:sz w:val="24"/>
        </w:rPr>
      </w:pPr>
    </w:p>
    <w:p w14:paraId="5ADE1EE1" w14:textId="1811F36E"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No Boycott of Israel.</w:t>
      </w:r>
    </w:p>
    <w:p w14:paraId="165372EF" w14:textId="1D912028" w:rsidR="00E42628" w:rsidRPr="004471A5"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Pursuant to O.C.G.A. §</w:t>
      </w:r>
      <w:r w:rsidR="0054389B" w:rsidRPr="004471A5">
        <w:rPr>
          <w:rFonts w:ascii="Arial" w:hAnsi="Arial" w:cs="Arial"/>
          <w:sz w:val="24"/>
          <w:szCs w:val="24"/>
        </w:rPr>
        <w:t xml:space="preserve"> </w:t>
      </w:r>
      <w:r w:rsidRPr="004471A5">
        <w:rPr>
          <w:rFonts w:ascii="Arial" w:hAnsi="Arial" w:cs="Arial"/>
          <w:sz w:val="24"/>
          <w:szCs w:val="24"/>
        </w:rPr>
        <w:t xml:space="preserve">50-5-85, the state shall not enter into a contract </w:t>
      </w:r>
      <w:r w:rsidR="00FF4AAB" w:rsidRPr="004471A5">
        <w:rPr>
          <w:rFonts w:ascii="Arial" w:hAnsi="Arial" w:cs="Arial"/>
          <w:sz w:val="24"/>
          <w:szCs w:val="24"/>
        </w:rPr>
        <w:t xml:space="preserve">related to construction or the provision of services, supplies, or information technology </w:t>
      </w:r>
      <w:r w:rsidRPr="004471A5">
        <w:rPr>
          <w:rFonts w:ascii="Arial" w:hAnsi="Arial" w:cs="Arial"/>
          <w:sz w:val="24"/>
          <w:szCs w:val="24"/>
        </w:rPr>
        <w:t>with a total value of $1</w:t>
      </w:r>
      <w:r w:rsidR="00D468A8" w:rsidRPr="004471A5">
        <w:rPr>
          <w:rFonts w:ascii="Arial" w:hAnsi="Arial" w:cs="Arial"/>
          <w:sz w:val="24"/>
          <w:szCs w:val="24"/>
        </w:rPr>
        <w:t>00</w:t>
      </w:r>
      <w:r w:rsidRPr="004471A5">
        <w:rPr>
          <w:rFonts w:ascii="Arial" w:hAnsi="Arial" w:cs="Arial"/>
          <w:sz w:val="24"/>
          <w:szCs w:val="24"/>
        </w:rPr>
        <w:t xml:space="preserve">,000 or greater with a </w:t>
      </w:r>
      <w:r w:rsidR="00D468A8" w:rsidRPr="004471A5">
        <w:rPr>
          <w:rFonts w:ascii="Arial" w:hAnsi="Arial" w:cs="Arial"/>
          <w:sz w:val="24"/>
          <w:szCs w:val="24"/>
        </w:rPr>
        <w:t xml:space="preserve">company that employs more than five persons, </w:t>
      </w:r>
      <w:r w:rsidRPr="004471A5">
        <w:rPr>
          <w:rFonts w:ascii="Arial" w:hAnsi="Arial" w:cs="Arial"/>
          <w:sz w:val="24"/>
          <w:szCs w:val="24"/>
        </w:rPr>
        <w:t>unless the contract includes a written certification that such company is not currently engaged in, and agrees for the duration of the contract</w:t>
      </w:r>
      <w:r w:rsidR="00FF4AAB" w:rsidRPr="004471A5">
        <w:rPr>
          <w:rFonts w:ascii="Arial" w:hAnsi="Arial" w:cs="Arial"/>
          <w:sz w:val="24"/>
          <w:szCs w:val="24"/>
        </w:rPr>
        <w:t>,</w:t>
      </w:r>
      <w:r w:rsidRPr="004471A5">
        <w:rPr>
          <w:rFonts w:ascii="Arial" w:hAnsi="Arial" w:cs="Arial"/>
          <w:sz w:val="24"/>
          <w:szCs w:val="24"/>
        </w:rPr>
        <w:t xml:space="preserve"> not to engage in</w:t>
      </w:r>
      <w:r w:rsidR="00FF4AAB" w:rsidRPr="004471A5">
        <w:rPr>
          <w:rFonts w:ascii="Arial" w:hAnsi="Arial" w:cs="Arial"/>
          <w:sz w:val="24"/>
          <w:szCs w:val="24"/>
        </w:rPr>
        <w:t xml:space="preserve"> </w:t>
      </w:r>
      <w:r w:rsidRPr="004471A5">
        <w:rPr>
          <w:rFonts w:ascii="Arial" w:hAnsi="Arial" w:cs="Arial"/>
          <w:sz w:val="24"/>
          <w:szCs w:val="24"/>
        </w:rPr>
        <w:t>a boycott of Israel.</w:t>
      </w:r>
    </w:p>
    <w:p w14:paraId="0AD98070" w14:textId="77777777" w:rsidR="004471A5" w:rsidRDefault="004471A5" w:rsidP="004471A5">
      <w:pPr>
        <w:pStyle w:val="Heading3"/>
        <w:numPr>
          <w:ilvl w:val="0"/>
          <w:numId w:val="0"/>
        </w:numPr>
        <w:spacing w:before="0"/>
        <w:ind w:left="720" w:hanging="720"/>
        <w:jc w:val="both"/>
        <w:rPr>
          <w:rFonts w:ascii="Arial" w:hAnsi="Arial" w:cs="Arial"/>
          <w:sz w:val="24"/>
        </w:rPr>
      </w:pPr>
    </w:p>
    <w:p w14:paraId="1A6D0275" w14:textId="681F10EF"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Joint Ownership</w:t>
      </w:r>
      <w:r w:rsidRPr="004471A5">
        <w:rPr>
          <w:rFonts w:ascii="Arial" w:hAnsi="Arial" w:cs="Arial"/>
          <w:b w:val="0"/>
          <w:bCs/>
          <w:sz w:val="24"/>
        </w:rPr>
        <w:t>.</w:t>
      </w:r>
    </w:p>
    <w:p w14:paraId="63040EDB" w14:textId="77777777" w:rsidR="00E42628" w:rsidRPr="004471A5"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 xml:space="preserve">In general, the State is constitutionally prohibited from becoming a joint owner or stockholder in or with any individual, company, association, or corporation.  Therefore, State Entities are generally prohibited from agreeing to joint ownership of intellectual property.  </w:t>
      </w:r>
      <w:r w:rsidRPr="004471A5">
        <w:rPr>
          <w:rFonts w:ascii="Arial" w:hAnsi="Arial" w:cs="Arial"/>
          <w:i/>
          <w:sz w:val="24"/>
          <w:szCs w:val="24"/>
        </w:rPr>
        <w:t>See</w:t>
      </w:r>
      <w:r w:rsidRPr="004471A5">
        <w:rPr>
          <w:rFonts w:ascii="Arial" w:hAnsi="Arial" w:cs="Arial"/>
          <w:sz w:val="24"/>
          <w:szCs w:val="24"/>
        </w:rPr>
        <w:t xml:space="preserve"> Ga. Const. Art. VII § IV, ¶ VIII.</w:t>
      </w:r>
    </w:p>
    <w:p w14:paraId="6C2937EE" w14:textId="77777777" w:rsidR="004471A5" w:rsidRDefault="004471A5" w:rsidP="004471A5">
      <w:pPr>
        <w:pStyle w:val="Heading3"/>
        <w:numPr>
          <w:ilvl w:val="0"/>
          <w:numId w:val="0"/>
        </w:numPr>
        <w:spacing w:before="0"/>
        <w:ind w:left="720" w:hanging="720"/>
        <w:jc w:val="both"/>
        <w:rPr>
          <w:rFonts w:ascii="Arial" w:hAnsi="Arial" w:cs="Arial"/>
          <w:sz w:val="24"/>
        </w:rPr>
      </w:pPr>
    </w:p>
    <w:p w14:paraId="2DBAC4EC" w14:textId="5520F378" w:rsidR="00E42628" w:rsidRPr="004471A5" w:rsidRDefault="00E42628" w:rsidP="004471A5">
      <w:pPr>
        <w:pStyle w:val="Heading3"/>
        <w:spacing w:before="0"/>
        <w:ind w:left="720" w:hanging="720"/>
        <w:jc w:val="both"/>
        <w:rPr>
          <w:rFonts w:ascii="Arial" w:hAnsi="Arial" w:cs="Arial"/>
          <w:sz w:val="24"/>
        </w:rPr>
      </w:pPr>
      <w:r w:rsidRPr="004471A5">
        <w:rPr>
          <w:rFonts w:ascii="Arial" w:hAnsi="Arial" w:cs="Arial"/>
          <w:sz w:val="24"/>
        </w:rPr>
        <w:t>E-Verify</w:t>
      </w:r>
      <w:r w:rsidRPr="004471A5">
        <w:rPr>
          <w:rFonts w:ascii="Arial" w:hAnsi="Arial" w:cs="Arial"/>
          <w:b w:val="0"/>
          <w:bCs/>
          <w:sz w:val="24"/>
        </w:rPr>
        <w:t>.</w:t>
      </w:r>
    </w:p>
    <w:p w14:paraId="712151A5" w14:textId="77777777" w:rsidR="00E42628" w:rsidRPr="004471A5" w:rsidRDefault="00E42628" w:rsidP="004471A5">
      <w:pPr>
        <w:spacing w:after="0" w:line="240" w:lineRule="auto"/>
        <w:ind w:left="720"/>
        <w:jc w:val="both"/>
        <w:rPr>
          <w:rFonts w:ascii="Arial" w:hAnsi="Arial" w:cs="Arial"/>
          <w:sz w:val="24"/>
          <w:szCs w:val="24"/>
        </w:rPr>
      </w:pPr>
      <w:r w:rsidRPr="004471A5">
        <w:rPr>
          <w:rFonts w:ascii="Arial" w:hAnsi="Arial" w:cs="Arial"/>
          <w:sz w:val="24"/>
          <w:szCs w:val="24"/>
        </w:rPr>
        <w:t>Pursuant to O.C.G.A. § 13-10-91, a public employer shall not enter into a contract for the performance of services unless the contractor registers and participates in the federal work authorization program. If a supplier is providing services under a contract with a total compensation amount of $2,500 or greater, (even if such services will be performed outside of the State of Georgia), DOAS requires a notarized affidavit from the supplier attesting to the following:</w:t>
      </w:r>
    </w:p>
    <w:p w14:paraId="264624D3" w14:textId="7574C143" w:rsidR="00E42628" w:rsidRPr="004471A5" w:rsidRDefault="00E42628" w:rsidP="004471A5">
      <w:pPr>
        <w:spacing w:after="0" w:line="240" w:lineRule="auto"/>
        <w:ind w:left="1800" w:hanging="720"/>
        <w:jc w:val="both"/>
        <w:rPr>
          <w:rFonts w:ascii="Arial" w:hAnsi="Arial" w:cs="Arial"/>
          <w:sz w:val="24"/>
          <w:szCs w:val="24"/>
        </w:rPr>
      </w:pPr>
      <w:r w:rsidRPr="004471A5">
        <w:rPr>
          <w:rFonts w:ascii="Arial" w:hAnsi="Arial" w:cs="Arial"/>
          <w:sz w:val="24"/>
          <w:szCs w:val="24"/>
        </w:rPr>
        <w:t>(A)</w:t>
      </w:r>
      <w:r w:rsidR="004471A5">
        <w:rPr>
          <w:rFonts w:ascii="Arial" w:hAnsi="Arial" w:cs="Arial"/>
          <w:sz w:val="24"/>
          <w:szCs w:val="24"/>
        </w:rPr>
        <w:tab/>
      </w:r>
      <w:r w:rsidRPr="004471A5">
        <w:rPr>
          <w:rFonts w:ascii="Arial" w:hAnsi="Arial" w:cs="Arial"/>
          <w:sz w:val="24"/>
          <w:szCs w:val="24"/>
        </w:rPr>
        <w:t>The affiant has registered with, is authorized to use, and uses the federal work authorization program;</w:t>
      </w:r>
    </w:p>
    <w:p w14:paraId="6BFF6C1F" w14:textId="0E407358" w:rsidR="00E42628" w:rsidRPr="004471A5" w:rsidRDefault="00E42628" w:rsidP="004471A5">
      <w:pPr>
        <w:spacing w:after="0" w:line="240" w:lineRule="auto"/>
        <w:ind w:left="1800" w:hanging="720"/>
        <w:jc w:val="both"/>
        <w:rPr>
          <w:rFonts w:ascii="Arial" w:hAnsi="Arial" w:cs="Arial"/>
          <w:sz w:val="24"/>
          <w:szCs w:val="24"/>
        </w:rPr>
      </w:pPr>
      <w:r w:rsidRPr="004471A5">
        <w:rPr>
          <w:rFonts w:ascii="Arial" w:hAnsi="Arial" w:cs="Arial"/>
          <w:sz w:val="24"/>
          <w:szCs w:val="24"/>
        </w:rPr>
        <w:t>(B)</w:t>
      </w:r>
      <w:r w:rsidR="004471A5">
        <w:rPr>
          <w:rFonts w:ascii="Arial" w:hAnsi="Arial" w:cs="Arial"/>
          <w:sz w:val="24"/>
          <w:szCs w:val="24"/>
        </w:rPr>
        <w:tab/>
      </w:r>
      <w:r w:rsidRPr="004471A5">
        <w:rPr>
          <w:rFonts w:ascii="Arial" w:hAnsi="Arial" w:cs="Arial"/>
          <w:sz w:val="24"/>
          <w:szCs w:val="24"/>
        </w:rPr>
        <w:t>The user identification number and date of authorization for the affiant;</w:t>
      </w:r>
    </w:p>
    <w:p w14:paraId="40E3C750" w14:textId="2D7D95FC" w:rsidR="00E42628" w:rsidRPr="004471A5" w:rsidRDefault="00E42628" w:rsidP="004471A5">
      <w:pPr>
        <w:spacing w:after="0" w:line="240" w:lineRule="auto"/>
        <w:ind w:left="1800" w:hanging="720"/>
        <w:jc w:val="both"/>
        <w:rPr>
          <w:rFonts w:ascii="Arial" w:hAnsi="Arial" w:cs="Arial"/>
          <w:sz w:val="24"/>
          <w:szCs w:val="24"/>
        </w:rPr>
      </w:pPr>
      <w:r w:rsidRPr="004471A5">
        <w:rPr>
          <w:rFonts w:ascii="Arial" w:hAnsi="Arial" w:cs="Arial"/>
          <w:sz w:val="24"/>
          <w:szCs w:val="24"/>
        </w:rPr>
        <w:t>(C)</w:t>
      </w:r>
      <w:r w:rsidR="004471A5">
        <w:rPr>
          <w:rFonts w:ascii="Arial" w:hAnsi="Arial" w:cs="Arial"/>
          <w:sz w:val="24"/>
          <w:szCs w:val="24"/>
        </w:rPr>
        <w:tab/>
      </w:r>
      <w:r w:rsidRPr="004471A5">
        <w:rPr>
          <w:rFonts w:ascii="Arial" w:hAnsi="Arial" w:cs="Arial"/>
          <w:sz w:val="24"/>
          <w:szCs w:val="24"/>
        </w:rPr>
        <w:t>The affiant will continue to use the federal work authorization program throughout the contract period; and</w:t>
      </w:r>
    </w:p>
    <w:p w14:paraId="7D62312F" w14:textId="6D7DAC82" w:rsidR="00E42628" w:rsidRPr="004471A5" w:rsidRDefault="00E42628" w:rsidP="004471A5">
      <w:pPr>
        <w:spacing w:after="0" w:line="240" w:lineRule="auto"/>
        <w:ind w:left="1800" w:hanging="720"/>
        <w:jc w:val="both"/>
        <w:rPr>
          <w:rFonts w:ascii="Arial" w:hAnsi="Arial" w:cs="Arial"/>
          <w:sz w:val="24"/>
          <w:szCs w:val="24"/>
        </w:rPr>
      </w:pPr>
      <w:r w:rsidRPr="004471A5">
        <w:rPr>
          <w:rFonts w:ascii="Arial" w:hAnsi="Arial" w:cs="Arial"/>
          <w:sz w:val="24"/>
          <w:szCs w:val="24"/>
        </w:rPr>
        <w:t>(D)</w:t>
      </w:r>
      <w:r w:rsidR="004471A5">
        <w:rPr>
          <w:rFonts w:ascii="Arial" w:hAnsi="Arial" w:cs="Arial"/>
          <w:sz w:val="24"/>
          <w:szCs w:val="24"/>
        </w:rPr>
        <w:tab/>
      </w:r>
      <w:r w:rsidRPr="004471A5">
        <w:rPr>
          <w:rFonts w:ascii="Arial" w:hAnsi="Arial" w:cs="Arial"/>
          <w:sz w:val="24"/>
          <w:szCs w:val="24"/>
        </w:rPr>
        <w:t>The affiant will contract for the physical performance of services in satisfaction of such contract only with subcontractors who present an affidavit to the contractor with the same information required by subparagraphs (A), (B), and (C) of this paragraph.</w:t>
      </w:r>
    </w:p>
    <w:p w14:paraId="58FFA94C" w14:textId="77777777" w:rsidR="004471A5" w:rsidRDefault="004471A5" w:rsidP="004471A5">
      <w:pPr>
        <w:spacing w:after="0" w:line="240" w:lineRule="auto"/>
        <w:ind w:left="360"/>
        <w:rPr>
          <w:rFonts w:ascii="Arial" w:hAnsi="Arial" w:cs="Arial"/>
          <w:sz w:val="24"/>
          <w:szCs w:val="24"/>
        </w:rPr>
      </w:pPr>
    </w:p>
    <w:p w14:paraId="3B05D235" w14:textId="094FE48D" w:rsidR="00E42628" w:rsidRDefault="00E42628" w:rsidP="004471A5">
      <w:pPr>
        <w:spacing w:after="0" w:line="240" w:lineRule="auto"/>
        <w:ind w:left="720"/>
        <w:rPr>
          <w:rFonts w:ascii="Arial" w:hAnsi="Arial" w:cs="Arial"/>
          <w:sz w:val="24"/>
          <w:szCs w:val="24"/>
        </w:rPr>
      </w:pPr>
      <w:r w:rsidRPr="004471A5">
        <w:rPr>
          <w:rFonts w:ascii="Arial" w:hAnsi="Arial" w:cs="Arial"/>
          <w:sz w:val="24"/>
          <w:szCs w:val="24"/>
        </w:rPr>
        <w:t xml:space="preserve">Additional information regarding the State’s E-verify requirements can be found at: </w:t>
      </w:r>
      <w:hyperlink r:id="rId9" w:history="1">
        <w:r w:rsidRPr="004471A5">
          <w:rPr>
            <w:rStyle w:val="Hyperlink"/>
            <w:rFonts w:ascii="Arial" w:hAnsi="Arial" w:cs="Arial"/>
            <w:sz w:val="24"/>
            <w:szCs w:val="24"/>
          </w:rPr>
          <w:t>http://www.audits.ga.gov/NALGAD/IllegalImmigrationReformandEnforcementAct.html</w:t>
        </w:r>
      </w:hyperlink>
      <w:r w:rsidRPr="004471A5">
        <w:rPr>
          <w:rFonts w:ascii="Arial" w:hAnsi="Arial" w:cs="Arial"/>
          <w:sz w:val="24"/>
          <w:szCs w:val="24"/>
        </w:rPr>
        <w:t xml:space="preserve"> </w:t>
      </w:r>
    </w:p>
    <w:p w14:paraId="136F53FA" w14:textId="77777777" w:rsidR="004471A5" w:rsidRPr="004471A5" w:rsidRDefault="004471A5" w:rsidP="004471A5">
      <w:pPr>
        <w:spacing w:after="0" w:line="240" w:lineRule="auto"/>
        <w:ind w:left="720"/>
        <w:rPr>
          <w:rFonts w:ascii="Arial" w:hAnsi="Arial" w:cs="Arial"/>
          <w:sz w:val="24"/>
          <w:szCs w:val="24"/>
        </w:rPr>
      </w:pPr>
    </w:p>
    <w:p w14:paraId="695E1816" w14:textId="765DD07A" w:rsidR="00E42628" w:rsidRPr="004471A5" w:rsidRDefault="00E42628" w:rsidP="004471A5">
      <w:pPr>
        <w:pStyle w:val="Heading3"/>
        <w:keepNext w:val="0"/>
        <w:keepLines w:val="0"/>
        <w:spacing w:before="0"/>
        <w:ind w:left="720" w:hanging="720"/>
        <w:rPr>
          <w:rFonts w:ascii="Arial" w:hAnsi="Arial" w:cs="Arial"/>
          <w:b w:val="0"/>
          <w:bCs/>
          <w:sz w:val="24"/>
        </w:rPr>
      </w:pPr>
      <w:r w:rsidRPr="004471A5">
        <w:rPr>
          <w:rFonts w:ascii="Arial" w:hAnsi="Arial" w:cs="Arial"/>
          <w:sz w:val="24"/>
        </w:rPr>
        <w:t>Benefits Based Funded Contracts (aka Cost Savings Contracts).</w:t>
      </w:r>
      <w:r w:rsidRPr="004471A5">
        <w:rPr>
          <w:rFonts w:ascii="Arial" w:hAnsi="Arial" w:cs="Arial"/>
          <w:b w:val="0"/>
          <w:bCs/>
          <w:sz w:val="24"/>
        </w:rPr>
        <w:t xml:space="preserve">  </w:t>
      </w:r>
    </w:p>
    <w:p w14:paraId="59CF0637" w14:textId="6346D006" w:rsidR="00E42628" w:rsidRPr="004471A5" w:rsidRDefault="00E42628" w:rsidP="004471A5">
      <w:pPr>
        <w:pStyle w:val="Heading3"/>
        <w:keepNext w:val="0"/>
        <w:keepLines w:val="0"/>
        <w:numPr>
          <w:ilvl w:val="0"/>
          <w:numId w:val="0"/>
        </w:numPr>
        <w:spacing w:before="0"/>
        <w:ind w:left="720"/>
        <w:rPr>
          <w:rFonts w:ascii="Arial" w:hAnsi="Arial" w:cs="Arial"/>
          <w:b w:val="0"/>
          <w:bCs/>
          <w:sz w:val="24"/>
        </w:rPr>
      </w:pPr>
      <w:r w:rsidRPr="004471A5">
        <w:rPr>
          <w:rFonts w:ascii="Arial" w:hAnsi="Arial" w:cs="Arial"/>
          <w:b w:val="0"/>
          <w:bCs/>
          <w:sz w:val="24"/>
        </w:rPr>
        <w:t xml:space="preserve">Benefits Based Funding Contracts, also referred to as “Cost Savings Contracts” are contracts where private companies assume financial risk for the success of a project and are then paid by the </w:t>
      </w:r>
      <w:r w:rsidR="00C145E3" w:rsidRPr="004471A5">
        <w:rPr>
          <w:rFonts w:ascii="Arial" w:hAnsi="Arial" w:cs="Arial"/>
          <w:b w:val="0"/>
          <w:bCs/>
          <w:sz w:val="24"/>
        </w:rPr>
        <w:t>State Entity</w:t>
      </w:r>
      <w:r w:rsidRPr="004471A5">
        <w:rPr>
          <w:rFonts w:ascii="Arial" w:hAnsi="Arial" w:cs="Arial"/>
          <w:b w:val="0"/>
          <w:bCs/>
          <w:sz w:val="24"/>
        </w:rPr>
        <w:t xml:space="preserve"> from the calculated savings or revenue gains generated from the project.  While these projects may be appealing because they are designed to fund improvement initiatives without placing an additional financial burden on the </w:t>
      </w:r>
      <w:r w:rsidR="00C145E3" w:rsidRPr="004471A5">
        <w:rPr>
          <w:rFonts w:ascii="Arial" w:hAnsi="Arial" w:cs="Arial"/>
          <w:b w:val="0"/>
          <w:bCs/>
          <w:sz w:val="24"/>
        </w:rPr>
        <w:t>State Entity</w:t>
      </w:r>
      <w:r w:rsidRPr="004471A5">
        <w:rPr>
          <w:rFonts w:ascii="Arial" w:hAnsi="Arial" w:cs="Arial"/>
          <w:b w:val="0"/>
          <w:bCs/>
          <w:sz w:val="24"/>
        </w:rPr>
        <w:t xml:space="preserve">, there are legal constraints in implementing these types of contracts.  For example, unless specifically authorized in the Constitution, the State’s credit cannot be pledged.  Any liability which is not </w:t>
      </w:r>
      <w:r w:rsidRPr="004471A5">
        <w:rPr>
          <w:rFonts w:ascii="Arial" w:hAnsi="Arial" w:cs="Arial"/>
          <w:b w:val="0"/>
          <w:bCs/>
          <w:sz w:val="24"/>
        </w:rPr>
        <w:lastRenderedPageBreak/>
        <w:t>required to be discharged by money already in the treasury, or by taxes to be levied during the year in which the contract under which the liability arises was made, is a debt within the meaning of the constitution.  A contract violating the Constitutional prohibition on pledging the State’s credit is void.</w:t>
      </w:r>
      <w:r w:rsidRPr="004471A5">
        <w:rPr>
          <w:rFonts w:ascii="Arial" w:hAnsi="Arial" w:cs="Arial"/>
          <w:bCs/>
          <w:sz w:val="24"/>
        </w:rPr>
        <w:t xml:space="preserve">  </w:t>
      </w:r>
    </w:p>
    <w:p w14:paraId="4CB154C6" w14:textId="77777777" w:rsidR="00B819A8" w:rsidRPr="004471A5" w:rsidRDefault="00B819A8" w:rsidP="004471A5">
      <w:pPr>
        <w:spacing w:after="0" w:line="240" w:lineRule="auto"/>
        <w:ind w:left="360"/>
        <w:rPr>
          <w:rFonts w:ascii="Arial" w:eastAsia="Times New Roman" w:hAnsi="Arial" w:cs="Arial"/>
          <w:bCs/>
          <w:color w:val="000000"/>
          <w:sz w:val="24"/>
          <w:szCs w:val="24"/>
        </w:rPr>
      </w:pPr>
    </w:p>
    <w:p w14:paraId="762E6057" w14:textId="6628F7A5" w:rsidR="00E42628" w:rsidRPr="004471A5" w:rsidRDefault="00E42628" w:rsidP="004471A5">
      <w:pPr>
        <w:spacing w:after="0" w:line="240" w:lineRule="auto"/>
        <w:ind w:left="720"/>
        <w:rPr>
          <w:rFonts w:ascii="Arial" w:eastAsia="Times New Roman" w:hAnsi="Arial" w:cs="Arial"/>
          <w:bCs/>
          <w:color w:val="000000"/>
          <w:sz w:val="24"/>
          <w:szCs w:val="24"/>
        </w:rPr>
      </w:pPr>
      <w:r w:rsidRPr="004471A5">
        <w:rPr>
          <w:rFonts w:ascii="Arial" w:eastAsia="Times New Roman" w:hAnsi="Arial" w:cs="Arial"/>
          <w:bCs/>
          <w:color w:val="000000"/>
          <w:sz w:val="24"/>
          <w:szCs w:val="24"/>
        </w:rPr>
        <w:t>Additionally, Public officials may not charge fees or collect money except as authorized by law.  Except under limited circumstances, monies collected by a state agency must be deposited into the general fund of the state treasury.  Money may be withdrawn from the treasury only by appropriation made by law.  Appropriations may not be “earmarked” for any special purpose and all revenues not contractually obligated lapse at the end of the year.</w:t>
      </w:r>
    </w:p>
    <w:p w14:paraId="2302CEEE" w14:textId="77777777" w:rsidR="004471A5" w:rsidRDefault="004471A5" w:rsidP="004471A5">
      <w:pPr>
        <w:spacing w:after="0" w:line="240" w:lineRule="auto"/>
        <w:ind w:left="720"/>
        <w:rPr>
          <w:rFonts w:ascii="Arial" w:eastAsia="Times New Roman" w:hAnsi="Arial" w:cs="Arial"/>
          <w:bCs/>
          <w:color w:val="000000"/>
          <w:sz w:val="24"/>
          <w:szCs w:val="24"/>
        </w:rPr>
      </w:pPr>
    </w:p>
    <w:p w14:paraId="2940DDF3" w14:textId="215DB559" w:rsidR="00D65710" w:rsidRDefault="00E42628" w:rsidP="004471A5">
      <w:pPr>
        <w:spacing w:after="0" w:line="240" w:lineRule="auto"/>
        <w:ind w:left="720"/>
        <w:rPr>
          <w:rFonts w:ascii="Arial" w:eastAsia="Times New Roman" w:hAnsi="Arial" w:cs="Arial"/>
          <w:bCs/>
          <w:color w:val="000000"/>
          <w:sz w:val="24"/>
          <w:szCs w:val="24"/>
        </w:rPr>
      </w:pPr>
      <w:r w:rsidRPr="004471A5">
        <w:rPr>
          <w:rFonts w:ascii="Arial" w:eastAsia="Times New Roman" w:hAnsi="Arial" w:cs="Arial"/>
          <w:bCs/>
          <w:color w:val="000000"/>
          <w:sz w:val="24"/>
          <w:szCs w:val="24"/>
        </w:rPr>
        <w:t>O.C.G.A. § 50-5-77 was implemented to increase flexibility in procuring benefits based funded contracts.  In the event that the provisions of O.C.G.A. § 50-5-77 cannot be met for this type of contract, the Department of Law should be consulted for further guidance.</w:t>
      </w:r>
    </w:p>
    <w:p w14:paraId="339125F7" w14:textId="77777777" w:rsidR="004471A5" w:rsidRPr="004471A5" w:rsidRDefault="004471A5" w:rsidP="004471A5">
      <w:pPr>
        <w:rPr>
          <w:rFonts w:ascii="Arial" w:hAnsi="Arial" w:cs="Arial"/>
          <w:sz w:val="24"/>
          <w:szCs w:val="24"/>
        </w:rPr>
      </w:pPr>
    </w:p>
    <w:p w14:paraId="1EEE3B69" w14:textId="77777777" w:rsidR="004471A5" w:rsidRPr="004471A5" w:rsidRDefault="004471A5" w:rsidP="004471A5">
      <w:pPr>
        <w:rPr>
          <w:rFonts w:ascii="Arial" w:hAnsi="Arial" w:cs="Arial"/>
          <w:sz w:val="24"/>
          <w:szCs w:val="24"/>
        </w:rPr>
      </w:pPr>
    </w:p>
    <w:p w14:paraId="5D1E04F7" w14:textId="77777777" w:rsidR="004471A5" w:rsidRPr="004471A5" w:rsidRDefault="004471A5" w:rsidP="004471A5">
      <w:pPr>
        <w:rPr>
          <w:rFonts w:ascii="Arial" w:hAnsi="Arial" w:cs="Arial"/>
          <w:sz w:val="24"/>
          <w:szCs w:val="24"/>
        </w:rPr>
      </w:pPr>
    </w:p>
    <w:p w14:paraId="281F76D9" w14:textId="77777777" w:rsidR="004471A5" w:rsidRPr="004471A5" w:rsidRDefault="004471A5" w:rsidP="004471A5">
      <w:pPr>
        <w:rPr>
          <w:rFonts w:ascii="Arial" w:hAnsi="Arial" w:cs="Arial"/>
          <w:sz w:val="24"/>
          <w:szCs w:val="24"/>
        </w:rPr>
      </w:pPr>
    </w:p>
    <w:p w14:paraId="75E6E386" w14:textId="77777777" w:rsidR="004471A5" w:rsidRDefault="004471A5" w:rsidP="004471A5">
      <w:pPr>
        <w:rPr>
          <w:rFonts w:ascii="Arial" w:eastAsia="Times New Roman" w:hAnsi="Arial" w:cs="Arial"/>
          <w:bCs/>
          <w:color w:val="000000"/>
          <w:sz w:val="24"/>
          <w:szCs w:val="24"/>
        </w:rPr>
      </w:pPr>
    </w:p>
    <w:p w14:paraId="41E247AE" w14:textId="20E4B02F" w:rsidR="004471A5" w:rsidRPr="004471A5" w:rsidRDefault="004471A5" w:rsidP="004471A5">
      <w:pPr>
        <w:tabs>
          <w:tab w:val="left" w:pos="4029"/>
        </w:tabs>
        <w:rPr>
          <w:rFonts w:ascii="Arial" w:hAnsi="Arial" w:cs="Arial"/>
          <w:sz w:val="24"/>
          <w:szCs w:val="24"/>
        </w:rPr>
      </w:pPr>
      <w:r>
        <w:rPr>
          <w:rFonts w:ascii="Arial" w:hAnsi="Arial" w:cs="Arial"/>
          <w:sz w:val="24"/>
          <w:szCs w:val="24"/>
        </w:rPr>
        <w:tab/>
      </w:r>
    </w:p>
    <w:sectPr w:rsidR="004471A5" w:rsidRPr="004471A5" w:rsidSect="004471A5">
      <w:footerReference w:type="default" r:id="rId10"/>
      <w:headerReference w:type="first" r:id="rId11"/>
      <w:pgSz w:w="12240" w:h="15840" w:code="1"/>
      <w:pgMar w:top="1152" w:right="720" w:bottom="115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3901" w14:textId="77777777" w:rsidR="00DB089E" w:rsidRDefault="00DB089E" w:rsidP="006B2B98">
      <w:pPr>
        <w:spacing w:after="0" w:line="240" w:lineRule="auto"/>
      </w:pPr>
      <w:r>
        <w:separator/>
      </w:r>
    </w:p>
  </w:endnote>
  <w:endnote w:type="continuationSeparator" w:id="0">
    <w:p w14:paraId="4540B292" w14:textId="77777777" w:rsidR="00DB089E" w:rsidRDefault="00DB089E" w:rsidP="006B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AC63" w14:textId="61C27EDF" w:rsidR="00B97139" w:rsidRPr="00597F38" w:rsidRDefault="004471A5" w:rsidP="00E656D7">
    <w:pPr>
      <w:pStyle w:val="Footer"/>
      <w:tabs>
        <w:tab w:val="clear" w:pos="9360"/>
        <w:tab w:val="left" w:pos="0"/>
        <w:tab w:val="right" w:pos="10620"/>
      </w:tabs>
      <w:rPr>
        <w:sz w:val="20"/>
      </w:rPr>
    </w:pPr>
    <w:r>
      <w:rPr>
        <w:noProof/>
      </w:rPr>
      <mc:AlternateContent>
        <mc:Choice Requires="wps">
          <w:drawing>
            <wp:anchor distT="0" distB="0" distL="114300" distR="114300" simplePos="0" relativeHeight="251661312" behindDoc="0" locked="0" layoutInCell="1" allowOverlap="1" wp14:anchorId="164C2E43" wp14:editId="6919A58A">
              <wp:simplePos x="0" y="0"/>
              <wp:positionH relativeFrom="page">
                <wp:align>left</wp:align>
              </wp:positionH>
              <wp:positionV relativeFrom="paragraph">
                <wp:posOffset>260262</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71F867" w14:textId="09AEA46B" w:rsidR="004471A5" w:rsidRPr="00075D4E" w:rsidRDefault="004471A5" w:rsidP="004471A5">
                          <w:pPr>
                            <w:pStyle w:val="Footer"/>
                            <w:tabs>
                              <w:tab w:val="center" w:pos="5760"/>
                              <w:tab w:val="right" w:pos="11520"/>
                            </w:tabs>
                            <w:spacing w:before="0" w:after="0"/>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w:t>
                          </w:r>
                          <w:r>
                            <w:rPr>
                              <w:rFonts w:ascii="Arial" w:hAnsi="Arial" w:cs="Arial"/>
                              <w:b/>
                              <w:bCs/>
                              <w:sz w:val="18"/>
                              <w:szCs w:val="18"/>
                            </w:rPr>
                            <w:t>6</w:t>
                          </w:r>
                          <w:r>
                            <w:rPr>
                              <w:rFonts w:ascii="Arial" w:hAnsi="Arial" w:cs="Arial"/>
                              <w:b/>
                              <w:bCs/>
                              <w:sz w:val="18"/>
                              <w:szCs w:val="18"/>
                            </w:rPr>
                            <w:t>0</w:t>
                          </w:r>
                        </w:p>
                        <w:p w14:paraId="36534576" w14:textId="77777777" w:rsidR="004471A5" w:rsidRPr="00075D4E" w:rsidRDefault="004471A5" w:rsidP="004471A5">
                          <w:pPr>
                            <w:spacing w:after="0" w:line="240" w:lineRule="auto"/>
                            <w:rPr>
                              <w:b/>
                              <w:bCs/>
                            </w:rPr>
                          </w:pPr>
                        </w:p>
                      </w:txbxContent>
                    </wps:txbx>
                    <wps:bodyPr rot="0" vert="horz" wrap="square" lIns="91440" tIns="45720" rIns="91440" bIns="45720" anchor="t" anchorCtr="0" upright="1">
                      <a:noAutofit/>
                    </wps:bodyPr>
                  </wps:wsp>
                </a:graphicData>
              </a:graphic>
            </wp:anchor>
          </w:drawing>
        </mc:Choice>
        <mc:Fallback>
          <w:pict>
            <v:shape w14:anchorId="164C2E43" id="Freeform 135" o:spid="_x0000_s1027" style="position:absolute;margin-left:0;margin-top:20.5pt;width:612pt;height:18.4pt;z-index:251661312;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3Vc2V3AAAAAcBAAAPAAAAZHJzL2Rv&#10;d25yZXYueG1sTI9BT8MwDIXvSPyHyEhc0Ja2Gmzq6k4IBOKGGOyeNVlbrXFK42Xh35Od4ORnPeu9&#10;z9Um2kEEM/neEUI+z0AYapzuqUX4+nyZrUB4VqTV4Mgg/BgPm/r6qlKldmf6MGHLrUgh5EuF0DGP&#10;pZS+6YxVfu5GQ8k7uMkqTuvUSj2pcwq3gyyy7EFa1VNq6NRonjrTHLcni/AaDlp/h+Pz7j2/u3/b&#10;FTEwR8Tbm/i4BsEm8t8xXPATOtSJae9OpL0YENIjjLDI07y4RbFIao+wXK5A1p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HdVzZX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3371F867" w14:textId="09AEA46B" w:rsidR="004471A5" w:rsidRPr="00075D4E" w:rsidRDefault="004471A5" w:rsidP="004471A5">
                    <w:pPr>
                      <w:pStyle w:val="Footer"/>
                      <w:tabs>
                        <w:tab w:val="center" w:pos="5760"/>
                        <w:tab w:val="right" w:pos="11520"/>
                      </w:tabs>
                      <w:spacing w:before="0" w:after="0"/>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w:t>
                    </w:r>
                    <w:r>
                      <w:rPr>
                        <w:rFonts w:ascii="Arial" w:hAnsi="Arial" w:cs="Arial"/>
                        <w:b/>
                        <w:bCs/>
                        <w:sz w:val="18"/>
                        <w:szCs w:val="18"/>
                      </w:rPr>
                      <w:t>6</w:t>
                    </w:r>
                    <w:r>
                      <w:rPr>
                        <w:rFonts w:ascii="Arial" w:hAnsi="Arial" w:cs="Arial"/>
                        <w:b/>
                        <w:bCs/>
                        <w:sz w:val="18"/>
                        <w:szCs w:val="18"/>
                      </w:rPr>
                      <w:t>0</w:t>
                    </w:r>
                  </w:p>
                  <w:p w14:paraId="36534576" w14:textId="77777777" w:rsidR="004471A5" w:rsidRPr="00075D4E" w:rsidRDefault="004471A5" w:rsidP="004471A5">
                    <w:pPr>
                      <w:spacing w:after="0" w:line="240" w:lineRule="auto"/>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3360" behindDoc="0" locked="0" layoutInCell="1" allowOverlap="1" wp14:anchorId="14DCA9EE" wp14:editId="31819637">
              <wp:simplePos x="0" y="0"/>
              <wp:positionH relativeFrom="page">
                <wp:align>left</wp:align>
              </wp:positionH>
              <wp:positionV relativeFrom="paragraph">
                <wp:posOffset>496207</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0E460D" id="Freeform 136" o:spid="_x0000_s1026" alt="&quot;&quot;" style="position:absolute;margin-left:0;margin-top:39.05pt;width:612pt;height:12.55pt;z-index:251663360;visibility:visible;mso-wrap-style:square;mso-wrap-distance-left:9pt;mso-wrap-distance-top:0;mso-wrap-distance-right:9pt;mso-wrap-distance-bottom:0;mso-position-horizontal:lef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46BF" w14:textId="77777777" w:rsidR="00DB089E" w:rsidRDefault="00DB089E" w:rsidP="006B2B98">
      <w:pPr>
        <w:spacing w:after="0" w:line="240" w:lineRule="auto"/>
      </w:pPr>
      <w:r>
        <w:separator/>
      </w:r>
    </w:p>
  </w:footnote>
  <w:footnote w:type="continuationSeparator" w:id="0">
    <w:p w14:paraId="5FAE6671" w14:textId="77777777" w:rsidR="00DB089E" w:rsidRDefault="00DB089E" w:rsidP="006B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A1E" w14:textId="77777777" w:rsidR="00DB089E" w:rsidRDefault="00CF7A9E" w:rsidP="007E50FF">
    <w:pPr>
      <w:pStyle w:val="Header"/>
      <w:pBdr>
        <w:bottom w:val="single" w:sz="4" w:space="1" w:color="auto"/>
      </w:pBdr>
    </w:pPr>
    <w:r>
      <w:rPr>
        <w:rFonts w:ascii="Adobe Garamond Pro" w:hAnsi="Adobe Garamond Pro" w:cs="Arial"/>
        <w:noProof/>
        <w:sz w:val="16"/>
        <w:szCs w:val="16"/>
      </w:rPr>
      <w:drawing>
        <wp:anchor distT="0" distB="0" distL="114300" distR="114300" simplePos="0" relativeHeight="251659264" behindDoc="0" locked="0" layoutInCell="1" allowOverlap="1" wp14:anchorId="657A16E0" wp14:editId="17CC7BCD">
          <wp:simplePos x="0" y="0"/>
          <wp:positionH relativeFrom="column">
            <wp:posOffset>2824681</wp:posOffset>
          </wp:positionH>
          <wp:positionV relativeFrom="paragraph">
            <wp:posOffset>-144855</wp:posOffset>
          </wp:positionV>
          <wp:extent cx="870585" cy="879475"/>
          <wp:effectExtent l="0" t="0" r="5715" b="0"/>
          <wp:wrapNone/>
          <wp:docPr id="8" name="Picture 8" descr="DOAS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OAS 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8D50FC1" w14:textId="77777777" w:rsidR="00DB089E" w:rsidRDefault="00DB089E" w:rsidP="007E50FF">
    <w:pPr>
      <w:pStyle w:val="Header"/>
      <w:pBdr>
        <w:bottom w:val="single" w:sz="4" w:space="1" w:color="auto"/>
      </w:pBdr>
    </w:pPr>
  </w:p>
  <w:p w14:paraId="50CA5DAB" w14:textId="77777777" w:rsidR="00DB089E" w:rsidRDefault="00DB089E" w:rsidP="007E50FF">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7E3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347F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CEE3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2077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7679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1A49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25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507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FC90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3277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36F"/>
    <w:multiLevelType w:val="hybridMultilevel"/>
    <w:tmpl w:val="3294A24C"/>
    <w:lvl w:ilvl="0" w:tplc="EC7850EE">
      <w:start w:val="1"/>
      <w:numFmt w:val="bullet"/>
      <w:pStyle w:val="HandbookBullet"/>
      <w:lvlText w:val="•"/>
      <w:lvlJc w:val="left"/>
      <w:pPr>
        <w:ind w:left="720" w:hanging="360"/>
      </w:pPr>
      <w:rPr>
        <w:rFonts w:ascii="Calibri" w:hAnsi="Calibri" w:hint="default"/>
        <w:b w:val="0"/>
        <w:i w:val="0"/>
        <w:color w:val="auto"/>
        <w:sz w:val="22"/>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C3D36"/>
    <w:multiLevelType w:val="hybridMultilevel"/>
    <w:tmpl w:val="2716E23A"/>
    <w:lvl w:ilvl="0" w:tplc="4C48E502">
      <w:start w:val="1"/>
      <w:numFmt w:val="bullet"/>
      <w:lvlText w:val=""/>
      <w:lvlJc w:val="left"/>
      <w:pPr>
        <w:ind w:left="697" w:hanging="360"/>
      </w:pPr>
      <w:rPr>
        <w:rFonts w:ascii="Wingdings" w:hAnsi="Wingdings" w:hint="default"/>
        <w:color w:val="CF035C"/>
        <w:sz w:val="22"/>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2" w15:restartNumberingAfterBreak="0">
    <w:nsid w:val="288B0FE8"/>
    <w:multiLevelType w:val="multilevel"/>
    <w:tmpl w:val="4EA21E44"/>
    <w:styleLink w:val="StyleNumberedHeadingsCambria16ptBoldCustomColorRGB"/>
    <w:lvl w:ilvl="0">
      <w:start w:val="1"/>
      <w:numFmt w:val="decimal"/>
      <w:lvlText w:val="%1."/>
      <w:lvlJc w:val="left"/>
      <w:pPr>
        <w:ind w:left="504" w:hanging="144"/>
      </w:pPr>
      <w:rPr>
        <w:rFonts w:asciiTheme="majorHAnsi" w:hAnsiTheme="majorHAnsi" w:hint="default"/>
        <w:b/>
        <w:bCs/>
        <w:smallCaps/>
        <w:color w:val="CF035C"/>
        <w:sz w:val="32"/>
      </w:rPr>
    </w:lvl>
    <w:lvl w:ilvl="1">
      <w:start w:val="1"/>
      <w:numFmt w:val="lowerLetter"/>
      <w:lvlText w:val="%2."/>
      <w:lvlJc w:val="left"/>
      <w:pPr>
        <w:ind w:left="1224" w:hanging="144"/>
      </w:pPr>
      <w:rPr>
        <w:rFonts w:hint="default"/>
      </w:rPr>
    </w:lvl>
    <w:lvl w:ilvl="2">
      <w:start w:val="1"/>
      <w:numFmt w:val="lowerRoman"/>
      <w:lvlText w:val="%3."/>
      <w:lvlJc w:val="right"/>
      <w:pPr>
        <w:ind w:left="1944" w:hanging="144"/>
      </w:pPr>
      <w:rPr>
        <w:rFonts w:hint="default"/>
      </w:rPr>
    </w:lvl>
    <w:lvl w:ilvl="3">
      <w:start w:val="1"/>
      <w:numFmt w:val="decimal"/>
      <w:lvlText w:val="%4."/>
      <w:lvlJc w:val="left"/>
      <w:pPr>
        <w:ind w:left="2664" w:hanging="144"/>
      </w:pPr>
      <w:rPr>
        <w:rFonts w:hint="default"/>
      </w:rPr>
    </w:lvl>
    <w:lvl w:ilvl="4">
      <w:start w:val="1"/>
      <w:numFmt w:val="lowerLetter"/>
      <w:lvlText w:val="%5."/>
      <w:lvlJc w:val="left"/>
      <w:pPr>
        <w:ind w:left="3384" w:hanging="144"/>
      </w:pPr>
      <w:rPr>
        <w:rFonts w:hint="default"/>
      </w:rPr>
    </w:lvl>
    <w:lvl w:ilvl="5">
      <w:start w:val="1"/>
      <w:numFmt w:val="lowerRoman"/>
      <w:lvlText w:val="%6."/>
      <w:lvlJc w:val="right"/>
      <w:pPr>
        <w:ind w:left="4104" w:hanging="144"/>
      </w:pPr>
      <w:rPr>
        <w:rFonts w:hint="default"/>
      </w:rPr>
    </w:lvl>
    <w:lvl w:ilvl="6">
      <w:start w:val="1"/>
      <w:numFmt w:val="decimal"/>
      <w:lvlText w:val="%7."/>
      <w:lvlJc w:val="left"/>
      <w:pPr>
        <w:ind w:left="4824" w:hanging="144"/>
      </w:pPr>
      <w:rPr>
        <w:rFonts w:hint="default"/>
      </w:rPr>
    </w:lvl>
    <w:lvl w:ilvl="7">
      <w:start w:val="1"/>
      <w:numFmt w:val="lowerLetter"/>
      <w:lvlText w:val="%8."/>
      <w:lvlJc w:val="left"/>
      <w:pPr>
        <w:ind w:left="5544" w:hanging="144"/>
      </w:pPr>
      <w:rPr>
        <w:rFonts w:hint="default"/>
      </w:rPr>
    </w:lvl>
    <w:lvl w:ilvl="8">
      <w:start w:val="1"/>
      <w:numFmt w:val="lowerRoman"/>
      <w:lvlText w:val="%9."/>
      <w:lvlJc w:val="right"/>
      <w:pPr>
        <w:ind w:left="6264" w:hanging="144"/>
      </w:pPr>
      <w:rPr>
        <w:rFonts w:hint="default"/>
      </w:rPr>
    </w:lvl>
  </w:abstractNum>
  <w:abstractNum w:abstractNumId="13" w15:restartNumberingAfterBreak="0">
    <w:nsid w:val="39070FB1"/>
    <w:multiLevelType w:val="hybridMultilevel"/>
    <w:tmpl w:val="39641A5A"/>
    <w:lvl w:ilvl="0" w:tplc="7614397C">
      <w:start w:val="1"/>
      <w:numFmt w:val="decimal"/>
      <w:lvlText w:val="(%1)"/>
      <w:lvlJc w:val="left"/>
      <w:pPr>
        <w:ind w:left="1440" w:hanging="360"/>
      </w:pPr>
      <w:rPr>
        <w:rFonts w:ascii="Calibri" w:eastAsia="Calibri" w:hAnsi="Calibri" w:cs="Times New Roman"/>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342BC6"/>
    <w:multiLevelType w:val="hybridMultilevel"/>
    <w:tmpl w:val="DC647770"/>
    <w:lvl w:ilvl="0" w:tplc="A2007050">
      <w:start w:val="1"/>
      <w:numFmt w:val="bullet"/>
      <w:lvlText w:val="•"/>
      <w:lvlJc w:val="left"/>
      <w:pPr>
        <w:tabs>
          <w:tab w:val="num" w:pos="360"/>
        </w:tabs>
        <w:ind w:left="360" w:hanging="360"/>
      </w:pPr>
      <w:rPr>
        <w:rFonts w:ascii="Times New Roman" w:hAnsi="Times New Roman" w:hint="default"/>
      </w:rPr>
    </w:lvl>
    <w:lvl w:ilvl="1" w:tplc="3B28C07A">
      <w:start w:val="2193"/>
      <w:numFmt w:val="bullet"/>
      <w:lvlText w:val="▪"/>
      <w:lvlJc w:val="left"/>
      <w:pPr>
        <w:tabs>
          <w:tab w:val="num" w:pos="1080"/>
        </w:tabs>
        <w:ind w:left="1080" w:hanging="360"/>
      </w:pPr>
      <w:rPr>
        <w:rFonts w:ascii="Arial" w:hAnsi="Arial" w:hint="default"/>
      </w:rPr>
    </w:lvl>
    <w:lvl w:ilvl="2" w:tplc="B7864382" w:tentative="1">
      <w:start w:val="1"/>
      <w:numFmt w:val="bullet"/>
      <w:lvlText w:val="•"/>
      <w:lvlJc w:val="left"/>
      <w:pPr>
        <w:tabs>
          <w:tab w:val="num" w:pos="1800"/>
        </w:tabs>
        <w:ind w:left="1800" w:hanging="360"/>
      </w:pPr>
      <w:rPr>
        <w:rFonts w:ascii="Times New Roman" w:hAnsi="Times New Roman" w:hint="default"/>
      </w:rPr>
    </w:lvl>
    <w:lvl w:ilvl="3" w:tplc="2592A5DA" w:tentative="1">
      <w:start w:val="1"/>
      <w:numFmt w:val="bullet"/>
      <w:lvlText w:val="•"/>
      <w:lvlJc w:val="left"/>
      <w:pPr>
        <w:tabs>
          <w:tab w:val="num" w:pos="2520"/>
        </w:tabs>
        <w:ind w:left="2520" w:hanging="360"/>
      </w:pPr>
      <w:rPr>
        <w:rFonts w:ascii="Times New Roman" w:hAnsi="Times New Roman" w:hint="default"/>
      </w:rPr>
    </w:lvl>
    <w:lvl w:ilvl="4" w:tplc="48BE062A" w:tentative="1">
      <w:start w:val="1"/>
      <w:numFmt w:val="bullet"/>
      <w:lvlText w:val="•"/>
      <w:lvlJc w:val="left"/>
      <w:pPr>
        <w:tabs>
          <w:tab w:val="num" w:pos="3240"/>
        </w:tabs>
        <w:ind w:left="3240" w:hanging="360"/>
      </w:pPr>
      <w:rPr>
        <w:rFonts w:ascii="Times New Roman" w:hAnsi="Times New Roman" w:hint="default"/>
      </w:rPr>
    </w:lvl>
    <w:lvl w:ilvl="5" w:tplc="D4ECDECC" w:tentative="1">
      <w:start w:val="1"/>
      <w:numFmt w:val="bullet"/>
      <w:lvlText w:val="•"/>
      <w:lvlJc w:val="left"/>
      <w:pPr>
        <w:tabs>
          <w:tab w:val="num" w:pos="3960"/>
        </w:tabs>
        <w:ind w:left="3960" w:hanging="360"/>
      </w:pPr>
      <w:rPr>
        <w:rFonts w:ascii="Times New Roman" w:hAnsi="Times New Roman" w:hint="default"/>
      </w:rPr>
    </w:lvl>
    <w:lvl w:ilvl="6" w:tplc="B5A28B18" w:tentative="1">
      <w:start w:val="1"/>
      <w:numFmt w:val="bullet"/>
      <w:lvlText w:val="•"/>
      <w:lvlJc w:val="left"/>
      <w:pPr>
        <w:tabs>
          <w:tab w:val="num" w:pos="4680"/>
        </w:tabs>
        <w:ind w:left="4680" w:hanging="360"/>
      </w:pPr>
      <w:rPr>
        <w:rFonts w:ascii="Times New Roman" w:hAnsi="Times New Roman" w:hint="default"/>
      </w:rPr>
    </w:lvl>
    <w:lvl w:ilvl="7" w:tplc="83C6BFB6" w:tentative="1">
      <w:start w:val="1"/>
      <w:numFmt w:val="bullet"/>
      <w:lvlText w:val="•"/>
      <w:lvlJc w:val="left"/>
      <w:pPr>
        <w:tabs>
          <w:tab w:val="num" w:pos="5400"/>
        </w:tabs>
        <w:ind w:left="5400" w:hanging="360"/>
      </w:pPr>
      <w:rPr>
        <w:rFonts w:ascii="Times New Roman" w:hAnsi="Times New Roman" w:hint="default"/>
      </w:rPr>
    </w:lvl>
    <w:lvl w:ilvl="8" w:tplc="261EB7CC" w:tentative="1">
      <w:start w:val="1"/>
      <w:numFmt w:val="bullet"/>
      <w:lvlText w:val="•"/>
      <w:lvlJc w:val="left"/>
      <w:pPr>
        <w:tabs>
          <w:tab w:val="num" w:pos="6120"/>
        </w:tabs>
        <w:ind w:left="6120" w:hanging="360"/>
      </w:pPr>
      <w:rPr>
        <w:rFonts w:ascii="Times New Roman" w:hAnsi="Times New Roman" w:hint="default"/>
      </w:rPr>
    </w:lvl>
  </w:abstractNum>
  <w:abstractNum w:abstractNumId="15" w15:restartNumberingAfterBreak="0">
    <w:nsid w:val="4D2B35C7"/>
    <w:multiLevelType w:val="hybridMultilevel"/>
    <w:tmpl w:val="1968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92DF4"/>
    <w:multiLevelType w:val="multilevel"/>
    <w:tmpl w:val="3E56E2C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CF65CE7"/>
    <w:multiLevelType w:val="hybridMultilevel"/>
    <w:tmpl w:val="A2004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D57D2E"/>
    <w:multiLevelType w:val="hybridMultilevel"/>
    <w:tmpl w:val="692084BE"/>
    <w:lvl w:ilvl="0" w:tplc="06A68A66">
      <w:start w:val="1"/>
      <w:numFmt w:val="bullet"/>
      <w:pStyle w:val="ReportBulletList"/>
      <w:lvlText w:val=""/>
      <w:lvlJc w:val="left"/>
      <w:pPr>
        <w:ind w:left="2430" w:hanging="360"/>
      </w:pPr>
      <w:rPr>
        <w:rFonts w:ascii="Wingdings" w:hAnsi="Wingdings" w:hint="default"/>
        <w:color w:val="CF035C"/>
        <w:sz w:val="2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790D3FF4"/>
    <w:multiLevelType w:val="hybridMultilevel"/>
    <w:tmpl w:val="852C6B02"/>
    <w:lvl w:ilvl="0" w:tplc="1ADE18F0">
      <w:start w:val="1"/>
      <w:numFmt w:val="decimal"/>
      <w:lvlText w:val="%1."/>
      <w:lvlJc w:val="left"/>
      <w:pPr>
        <w:ind w:left="1350" w:hanging="360"/>
      </w:pPr>
      <w:rPr>
        <w:rFonts w:ascii="Calibri" w:hAnsi="Calibri" w:hint="default"/>
        <w:b/>
        <w:i w:val="0"/>
        <w:color w:val="C00000"/>
        <w:sz w:val="3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91B5C87"/>
    <w:multiLevelType w:val="hybridMultilevel"/>
    <w:tmpl w:val="87FA2016"/>
    <w:lvl w:ilvl="0" w:tplc="58C62B84">
      <w:start w:val="1"/>
      <w:numFmt w:val="decimal"/>
      <w:pStyle w:val="Heading3"/>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927058">
    <w:abstractNumId w:val="10"/>
  </w:num>
  <w:num w:numId="2" w16cid:durableId="122432746">
    <w:abstractNumId w:val="12"/>
  </w:num>
  <w:num w:numId="3" w16cid:durableId="1546721833">
    <w:abstractNumId w:val="11"/>
  </w:num>
  <w:num w:numId="4" w16cid:durableId="1696690878">
    <w:abstractNumId w:val="18"/>
  </w:num>
  <w:num w:numId="5" w16cid:durableId="1826435873">
    <w:abstractNumId w:val="19"/>
  </w:num>
  <w:num w:numId="6" w16cid:durableId="1959874860">
    <w:abstractNumId w:val="16"/>
  </w:num>
  <w:num w:numId="7" w16cid:durableId="816461519">
    <w:abstractNumId w:val="14"/>
  </w:num>
  <w:num w:numId="8" w16cid:durableId="1607275494">
    <w:abstractNumId w:val="15"/>
  </w:num>
  <w:num w:numId="9" w16cid:durableId="1769891299">
    <w:abstractNumId w:val="17"/>
  </w:num>
  <w:num w:numId="10" w16cid:durableId="272983455">
    <w:abstractNumId w:val="20"/>
  </w:num>
  <w:num w:numId="11" w16cid:durableId="1013147865">
    <w:abstractNumId w:val="9"/>
  </w:num>
  <w:num w:numId="12" w16cid:durableId="515777971">
    <w:abstractNumId w:val="7"/>
  </w:num>
  <w:num w:numId="13" w16cid:durableId="1590960798">
    <w:abstractNumId w:val="6"/>
  </w:num>
  <w:num w:numId="14" w16cid:durableId="446318849">
    <w:abstractNumId w:val="5"/>
  </w:num>
  <w:num w:numId="15" w16cid:durableId="761605723">
    <w:abstractNumId w:val="4"/>
  </w:num>
  <w:num w:numId="16" w16cid:durableId="411778534">
    <w:abstractNumId w:val="8"/>
  </w:num>
  <w:num w:numId="17" w16cid:durableId="756055289">
    <w:abstractNumId w:val="3"/>
  </w:num>
  <w:num w:numId="18" w16cid:durableId="609355557">
    <w:abstractNumId w:val="2"/>
  </w:num>
  <w:num w:numId="19" w16cid:durableId="152765821">
    <w:abstractNumId w:val="1"/>
  </w:num>
  <w:num w:numId="20" w16cid:durableId="1463884703">
    <w:abstractNumId w:val="0"/>
  </w:num>
  <w:num w:numId="21" w16cid:durableId="1270434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98"/>
    <w:rsid w:val="00280CB9"/>
    <w:rsid w:val="004471A5"/>
    <w:rsid w:val="0054389B"/>
    <w:rsid w:val="00597F38"/>
    <w:rsid w:val="006B2B98"/>
    <w:rsid w:val="007313CF"/>
    <w:rsid w:val="00867706"/>
    <w:rsid w:val="00B819A8"/>
    <w:rsid w:val="00B97139"/>
    <w:rsid w:val="00B977BE"/>
    <w:rsid w:val="00C145E3"/>
    <w:rsid w:val="00C56906"/>
    <w:rsid w:val="00CF7A9E"/>
    <w:rsid w:val="00D468A8"/>
    <w:rsid w:val="00D65710"/>
    <w:rsid w:val="00DB089E"/>
    <w:rsid w:val="00E03B9E"/>
    <w:rsid w:val="00E222D6"/>
    <w:rsid w:val="00E30F0C"/>
    <w:rsid w:val="00E42628"/>
    <w:rsid w:val="00E656D7"/>
    <w:rsid w:val="00ED2DB6"/>
    <w:rsid w:val="00F9467C"/>
    <w:rsid w:val="00FF4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2825"/>
  <w15:chartTrackingRefBased/>
  <w15:docId w15:val="{6B14BDDA-48C3-4EA4-90D6-121C9884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7C"/>
  </w:style>
  <w:style w:type="paragraph" w:styleId="Heading1">
    <w:name w:val="heading 1"/>
    <w:next w:val="Normal"/>
    <w:link w:val="Heading1Char"/>
    <w:autoRedefine/>
    <w:uiPriority w:val="9"/>
    <w:qFormat/>
    <w:rsid w:val="006B2B98"/>
    <w:pPr>
      <w:keepNext/>
      <w:numPr>
        <w:numId w:val="6"/>
      </w:numPr>
      <w:pBdr>
        <w:bottom w:val="single" w:sz="18" w:space="1" w:color="299926"/>
      </w:pBdr>
      <w:spacing w:before="240" w:after="240" w:line="240" w:lineRule="auto"/>
      <w:ind w:left="360" w:hanging="360"/>
      <w:contextualSpacing/>
      <w:outlineLvl w:val="0"/>
    </w:pPr>
    <w:rPr>
      <w:rFonts w:asciiTheme="majorHAnsi" w:eastAsiaTheme="majorEastAsia" w:hAnsiTheme="majorHAnsi" w:cs="Arial"/>
      <w:b/>
      <w:smallCaps/>
      <w:color w:val="CF035C"/>
      <w:sz w:val="32"/>
      <w:szCs w:val="32"/>
    </w:rPr>
  </w:style>
  <w:style w:type="paragraph" w:styleId="Heading2">
    <w:name w:val="heading 2"/>
    <w:basedOn w:val="Normal"/>
    <w:next w:val="Normal"/>
    <w:link w:val="Heading2Char"/>
    <w:autoRedefine/>
    <w:uiPriority w:val="9"/>
    <w:unhideWhenUsed/>
    <w:qFormat/>
    <w:rsid w:val="00F9467C"/>
    <w:pPr>
      <w:keepNext/>
      <w:keepLines/>
      <w:spacing w:before="120" w:after="120" w:line="240" w:lineRule="auto"/>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B2B98"/>
    <w:pPr>
      <w:keepNext/>
      <w:keepLines/>
      <w:numPr>
        <w:numId w:val="10"/>
      </w:numPr>
      <w:spacing w:before="120" w:after="0" w:line="240" w:lineRule="auto"/>
      <w:ind w:left="360"/>
      <w:outlineLvl w:val="2"/>
    </w:pPr>
    <w:rPr>
      <w:rFonts w:eastAsiaTheme="majorEastAsia" w:cstheme="majorBidi"/>
      <w:b/>
      <w:color w:val="000000" w:themeColor="text1"/>
      <w:szCs w:val="24"/>
    </w:rPr>
  </w:style>
  <w:style w:type="paragraph" w:styleId="Heading5">
    <w:name w:val="heading 5"/>
    <w:next w:val="Normal"/>
    <w:link w:val="Heading5Char"/>
    <w:autoRedefine/>
    <w:uiPriority w:val="9"/>
    <w:unhideWhenUsed/>
    <w:qFormat/>
    <w:rsid w:val="006B2B98"/>
    <w:pPr>
      <w:keepNext/>
      <w:keepLines/>
      <w:pBdr>
        <w:bottom w:val="double" w:sz="6" w:space="1" w:color="F7A30A"/>
      </w:pBdr>
      <w:spacing w:before="480" w:after="240" w:line="240" w:lineRule="auto"/>
      <w:outlineLvl w:val="4"/>
    </w:pPr>
    <w:rPr>
      <w:rFonts w:ascii="Cambria" w:eastAsia="Times New Roman" w:hAnsi="Cambria" w:cs="Times New Roman"/>
      <w:b/>
      <w:smallCaps/>
      <w:color w:val="70126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98"/>
    <w:rPr>
      <w:rFonts w:asciiTheme="majorHAnsi" w:eastAsiaTheme="majorEastAsia" w:hAnsiTheme="majorHAnsi" w:cs="Arial"/>
      <w:b/>
      <w:smallCaps/>
      <w:color w:val="CF035C"/>
      <w:sz w:val="32"/>
      <w:szCs w:val="32"/>
    </w:rPr>
  </w:style>
  <w:style w:type="character" w:customStyle="1" w:styleId="Heading2Char">
    <w:name w:val="Heading 2 Char"/>
    <w:basedOn w:val="DefaultParagraphFont"/>
    <w:link w:val="Heading2"/>
    <w:uiPriority w:val="9"/>
    <w:rsid w:val="00F9467C"/>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B2B98"/>
    <w:rPr>
      <w:rFonts w:eastAsiaTheme="majorEastAsia" w:cstheme="majorBidi"/>
      <w:b/>
      <w:color w:val="000000" w:themeColor="text1"/>
      <w:szCs w:val="24"/>
    </w:rPr>
  </w:style>
  <w:style w:type="character" w:customStyle="1" w:styleId="Heading5Char">
    <w:name w:val="Heading 5 Char"/>
    <w:basedOn w:val="DefaultParagraphFont"/>
    <w:link w:val="Heading5"/>
    <w:uiPriority w:val="9"/>
    <w:rsid w:val="006B2B98"/>
    <w:rPr>
      <w:rFonts w:ascii="Cambria" w:eastAsia="Times New Roman" w:hAnsi="Cambria" w:cs="Times New Roman"/>
      <w:b/>
      <w:smallCaps/>
      <w:color w:val="70126B"/>
      <w:sz w:val="32"/>
    </w:rPr>
  </w:style>
  <w:style w:type="paragraph" w:customStyle="1" w:styleId="HandbookBullet">
    <w:name w:val="HandbookBullet"/>
    <w:qFormat/>
    <w:rsid w:val="006B2B98"/>
    <w:pPr>
      <w:numPr>
        <w:numId w:val="1"/>
      </w:numPr>
      <w:spacing w:before="120" w:after="120" w:line="240" w:lineRule="auto"/>
      <w:jc w:val="both"/>
    </w:pPr>
    <w:rPr>
      <w:rFonts w:eastAsia="Times New Roman" w:cs="Times New Roman"/>
      <w:szCs w:val="20"/>
    </w:rPr>
  </w:style>
  <w:style w:type="numbering" w:customStyle="1" w:styleId="StyleNumberedHeadingsCambria16ptBoldCustomColorRGB">
    <w:name w:val="Style Numbered +Headings (Cambria) 16 pt Bold Custom Color(RGB(..."/>
    <w:basedOn w:val="NoList"/>
    <w:rsid w:val="006B2B98"/>
    <w:pPr>
      <w:numPr>
        <w:numId w:val="2"/>
      </w:numPr>
    </w:pPr>
  </w:style>
  <w:style w:type="paragraph" w:customStyle="1" w:styleId="ReportBulletList">
    <w:name w:val="Report Bullet List"/>
    <w:autoRedefine/>
    <w:qFormat/>
    <w:rsid w:val="006B2B98"/>
    <w:pPr>
      <w:numPr>
        <w:numId w:val="4"/>
      </w:numPr>
      <w:spacing w:after="60" w:line="240" w:lineRule="auto"/>
      <w:jc w:val="both"/>
    </w:pPr>
    <w:rPr>
      <w:rFonts w:ascii="Calibri" w:eastAsia="Times New Roman" w:hAnsi="Calibri" w:cs="Times New Roman"/>
      <w:color w:val="7D7061"/>
    </w:rPr>
  </w:style>
  <w:style w:type="paragraph" w:styleId="Header">
    <w:name w:val="header"/>
    <w:basedOn w:val="Normal"/>
    <w:link w:val="HeaderChar"/>
    <w:uiPriority w:val="99"/>
    <w:unhideWhenUsed/>
    <w:rsid w:val="006B2B98"/>
    <w:pPr>
      <w:tabs>
        <w:tab w:val="center" w:pos="4680"/>
        <w:tab w:val="right" w:pos="9360"/>
      </w:tabs>
      <w:spacing w:before="120" w:after="120" w:line="240" w:lineRule="auto"/>
    </w:pPr>
    <w:rPr>
      <w:rFonts w:ascii="Calibri" w:eastAsia="Calibri" w:hAnsi="Calibri" w:cs="Times New Roman"/>
    </w:rPr>
  </w:style>
  <w:style w:type="character" w:customStyle="1" w:styleId="HeaderChar">
    <w:name w:val="Header Char"/>
    <w:basedOn w:val="DefaultParagraphFont"/>
    <w:link w:val="Header"/>
    <w:uiPriority w:val="99"/>
    <w:rsid w:val="006B2B98"/>
    <w:rPr>
      <w:rFonts w:ascii="Calibri" w:eastAsia="Calibri" w:hAnsi="Calibri" w:cs="Times New Roman"/>
    </w:rPr>
  </w:style>
  <w:style w:type="paragraph" w:styleId="Footer">
    <w:name w:val="footer"/>
    <w:basedOn w:val="Normal"/>
    <w:link w:val="FooterChar"/>
    <w:uiPriority w:val="99"/>
    <w:unhideWhenUsed/>
    <w:rsid w:val="006B2B98"/>
    <w:pPr>
      <w:tabs>
        <w:tab w:val="center" w:pos="4680"/>
        <w:tab w:val="right" w:pos="9360"/>
      </w:tabs>
      <w:spacing w:before="120" w:after="120" w:line="240" w:lineRule="auto"/>
    </w:pPr>
    <w:rPr>
      <w:rFonts w:ascii="Calibri" w:eastAsia="Calibri" w:hAnsi="Calibri" w:cs="Times New Roman"/>
    </w:rPr>
  </w:style>
  <w:style w:type="character" w:customStyle="1" w:styleId="FooterChar">
    <w:name w:val="Footer Char"/>
    <w:basedOn w:val="DefaultParagraphFont"/>
    <w:link w:val="Footer"/>
    <w:uiPriority w:val="99"/>
    <w:rsid w:val="006B2B98"/>
    <w:rPr>
      <w:rFonts w:ascii="Calibri" w:eastAsia="Calibri" w:hAnsi="Calibri" w:cs="Times New Roman"/>
    </w:rPr>
  </w:style>
  <w:style w:type="paragraph" w:styleId="NormalWeb">
    <w:name w:val="Normal (Web)"/>
    <w:basedOn w:val="Normal"/>
    <w:uiPriority w:val="99"/>
    <w:unhideWhenUsed/>
    <w:rsid w:val="006B2B98"/>
    <w:pPr>
      <w:spacing w:before="240" w:after="120" w:line="240" w:lineRule="auto"/>
    </w:pPr>
    <w:rPr>
      <w:rFonts w:eastAsia="Times New Roman" w:cs="Times New Roman"/>
      <w:szCs w:val="24"/>
    </w:rPr>
  </w:style>
  <w:style w:type="paragraph" w:styleId="ListParagraph">
    <w:name w:val="List Paragraph"/>
    <w:basedOn w:val="Normal"/>
    <w:uiPriority w:val="34"/>
    <w:qFormat/>
    <w:rsid w:val="006B2B98"/>
    <w:pPr>
      <w:spacing w:before="240" w:after="12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6B2B98"/>
    <w:rPr>
      <w:color w:val="0563C1" w:themeColor="hyperlink"/>
      <w:u w:val="single"/>
    </w:rPr>
  </w:style>
  <w:style w:type="paragraph" w:styleId="BalloonText">
    <w:name w:val="Balloon Text"/>
    <w:basedOn w:val="Normal"/>
    <w:link w:val="BalloonTextChar"/>
    <w:uiPriority w:val="99"/>
    <w:semiHidden/>
    <w:unhideWhenUsed/>
    <w:rsid w:val="006B2B9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2B98"/>
    <w:rPr>
      <w:rFonts w:ascii="Segoe UI" w:eastAsia="Calibri" w:hAnsi="Segoe UI" w:cs="Segoe UI"/>
      <w:sz w:val="18"/>
      <w:szCs w:val="18"/>
    </w:rPr>
  </w:style>
  <w:style w:type="table" w:styleId="TableGrid">
    <w:name w:val="Table Grid"/>
    <w:basedOn w:val="TableNormal"/>
    <w:uiPriority w:val="39"/>
    <w:rsid w:val="004471A5"/>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4471A5"/>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 w:type="paragraph" w:customStyle="1" w:styleId="FSubtitle">
    <w:name w:val="F_Subtitle"/>
    <w:basedOn w:val="BodyText"/>
    <w:uiPriority w:val="1"/>
    <w:qFormat/>
    <w:rsid w:val="004471A5"/>
    <w:pPr>
      <w:framePr w:hSpace="187" w:wrap="around" w:vAnchor="page" w:hAnchor="margin" w:xAlign="center" w:y="231"/>
      <w:widowControl w:val="0"/>
      <w:kinsoku w:val="0"/>
      <w:overflowPunct w:val="0"/>
      <w:autoSpaceDE w:val="0"/>
      <w:autoSpaceDN w:val="0"/>
      <w:adjustRightInd w:val="0"/>
      <w:spacing w:after="0" w:line="240" w:lineRule="auto"/>
      <w:suppressOverlap/>
      <w:jc w:val="center"/>
    </w:pPr>
    <w:rPr>
      <w:rFonts w:ascii="Candara" w:eastAsiaTheme="minorEastAsia" w:hAnsi="Candara" w:cs="Arial"/>
      <w:b/>
      <w:bCs/>
      <w:sz w:val="36"/>
      <w:szCs w:val="36"/>
    </w:rPr>
  </w:style>
  <w:style w:type="paragraph" w:styleId="BodyText">
    <w:name w:val="Body Text"/>
    <w:basedOn w:val="Normal"/>
    <w:link w:val="BodyTextChar"/>
    <w:uiPriority w:val="99"/>
    <w:semiHidden/>
    <w:unhideWhenUsed/>
    <w:rsid w:val="004471A5"/>
    <w:pPr>
      <w:spacing w:after="120"/>
    </w:pPr>
  </w:style>
  <w:style w:type="character" w:customStyle="1" w:styleId="BodyTextChar">
    <w:name w:val="Body Text Char"/>
    <w:basedOn w:val="DefaultParagraphFont"/>
    <w:link w:val="BodyText"/>
    <w:uiPriority w:val="99"/>
    <w:semiHidden/>
    <w:rsid w:val="0044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statutes-legislation/id/5YYC-7H71-FJDY-X19D-00008-00?cite=Ga.%20Const.%20Art.%20III%2C%20%C2%A7%20VI%2C%20Para.%20VI&amp;context=10005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dits.ga.gov/NALGAD/IllegalImmigrationReformandEnforcementAc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Mary</dc:creator>
  <cp:keywords/>
  <dc:description/>
  <cp:lastModifiedBy>Chapman, Mary</cp:lastModifiedBy>
  <cp:revision>4</cp:revision>
  <dcterms:created xsi:type="dcterms:W3CDTF">2022-06-29T10:40:00Z</dcterms:created>
  <dcterms:modified xsi:type="dcterms:W3CDTF">2026-06-30T04:25:00Z</dcterms:modified>
</cp:coreProperties>
</file>